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3F" w:rsidRPr="00B94410" w:rsidRDefault="007A13CC" w:rsidP="004116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410">
        <w:rPr>
          <w:rFonts w:ascii="Times New Roman" w:hAnsi="Times New Roman" w:cs="Times New Roman"/>
          <w:b/>
          <w:sz w:val="28"/>
          <w:szCs w:val="28"/>
        </w:rPr>
        <w:t>Karbiidsest süsiniku</w:t>
      </w:r>
      <w:r w:rsidR="0018583C" w:rsidRPr="00B94410">
        <w:rPr>
          <w:rFonts w:ascii="Times New Roman" w:hAnsi="Times New Roman" w:cs="Times New Roman"/>
          <w:b/>
          <w:sz w:val="28"/>
          <w:szCs w:val="28"/>
        </w:rPr>
        <w:t>st valmistatud elektroaktiivsed</w:t>
      </w:r>
      <w:r w:rsidRPr="00B9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6AB">
        <w:rPr>
          <w:rFonts w:ascii="Times New Roman" w:hAnsi="Times New Roman" w:cs="Times New Roman"/>
          <w:b/>
          <w:sz w:val="28"/>
          <w:szCs w:val="28"/>
        </w:rPr>
        <w:t>täiturid: e</w:t>
      </w:r>
      <w:r w:rsidR="0018583C" w:rsidRPr="00B94410">
        <w:rPr>
          <w:rFonts w:ascii="Times New Roman" w:hAnsi="Times New Roman" w:cs="Times New Roman"/>
          <w:b/>
          <w:sz w:val="28"/>
          <w:szCs w:val="28"/>
        </w:rPr>
        <w:t xml:space="preserve">lektrienergia mehaaniliseks tööks muundamise efektiivsus </w:t>
      </w:r>
    </w:p>
    <w:p w:rsidR="00E21D73" w:rsidRPr="00601797" w:rsidRDefault="00E21D73" w:rsidP="00E21D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797">
        <w:rPr>
          <w:rFonts w:ascii="Times New Roman" w:hAnsi="Times New Roman" w:cs="Times New Roman"/>
          <w:b/>
          <w:sz w:val="24"/>
          <w:szCs w:val="24"/>
        </w:rPr>
        <w:t>SISSEJUHATUS</w:t>
      </w:r>
    </w:p>
    <w:p w:rsidR="00EE7392" w:rsidRDefault="00EF4668" w:rsidP="00EF4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Vajadus a</w:t>
      </w:r>
      <w:r w:rsidRPr="00EF4668">
        <w:rPr>
          <w:rFonts w:ascii="Times New Roman" w:hAnsi="Times New Roman" w:cs="Times New Roman"/>
          <w:sz w:val="24"/>
          <w:szCs w:val="24"/>
        </w:rPr>
        <w:t xml:space="preserve">lternatiivsete energiaallikate </w:t>
      </w:r>
      <w:r>
        <w:rPr>
          <w:rFonts w:ascii="Times New Roman" w:hAnsi="Times New Roman" w:cs="Times New Roman"/>
          <w:sz w:val="24"/>
          <w:szCs w:val="24"/>
        </w:rPr>
        <w:t>järele on märkimisväärselt tõstnud</w:t>
      </w:r>
      <w:r w:rsidRPr="00EF4668">
        <w:rPr>
          <w:rFonts w:ascii="Times New Roman" w:hAnsi="Times New Roman" w:cs="Times New Roman"/>
          <w:sz w:val="24"/>
          <w:szCs w:val="24"/>
        </w:rPr>
        <w:t xml:space="preserve"> huvi aktiveeritud süsiniku</w:t>
      </w:r>
      <w:r>
        <w:rPr>
          <w:rFonts w:ascii="Times New Roman" w:hAnsi="Times New Roman" w:cs="Times New Roman"/>
          <w:sz w:val="24"/>
          <w:szCs w:val="24"/>
        </w:rPr>
        <w:t xml:space="preserve"> teadusuuringute vastu. </w:t>
      </w:r>
      <w:r w:rsidR="00044720">
        <w:rPr>
          <w:rFonts w:ascii="Times New Roman" w:hAnsi="Times New Roman" w:cs="Times New Roman"/>
          <w:sz w:val="24"/>
          <w:szCs w:val="24"/>
        </w:rPr>
        <w:t xml:space="preserve">Spetsiifilise struktuuri ja küllaldase keemilise inertsuse </w:t>
      </w:r>
      <w:r w:rsidR="00B20B48">
        <w:rPr>
          <w:rFonts w:ascii="Times New Roman" w:hAnsi="Times New Roman" w:cs="Times New Roman"/>
          <w:sz w:val="24"/>
          <w:szCs w:val="24"/>
        </w:rPr>
        <w:t xml:space="preserve">tõttu </w:t>
      </w:r>
      <w:r w:rsidR="00044720">
        <w:rPr>
          <w:rFonts w:ascii="Times New Roman" w:hAnsi="Times New Roman" w:cs="Times New Roman"/>
          <w:sz w:val="24"/>
          <w:szCs w:val="24"/>
        </w:rPr>
        <w:t>on suurepinnalistel süsinikmaterjalidel väga laiad kasutusvõimalused, millest olulisemad</w:t>
      </w:r>
      <w:r w:rsidR="00B20B48">
        <w:rPr>
          <w:rFonts w:ascii="Times New Roman" w:hAnsi="Times New Roman" w:cs="Times New Roman"/>
          <w:sz w:val="24"/>
          <w:szCs w:val="24"/>
        </w:rPr>
        <w:t xml:space="preserve"> on</w:t>
      </w:r>
      <w:r w:rsidR="00044720">
        <w:rPr>
          <w:rFonts w:ascii="Times New Roman" w:hAnsi="Times New Roman" w:cs="Times New Roman"/>
          <w:sz w:val="24"/>
          <w:szCs w:val="24"/>
        </w:rPr>
        <w:t xml:space="preserve"> kasutamine elektroodmaterjalina energiat salvestavates seadmetes ja molekulaarsõeltena adsorptsiooniprotsessides</w:t>
      </w:r>
      <w:r w:rsidR="007C0DEA">
        <w:rPr>
          <w:rFonts w:ascii="Times New Roman" w:hAnsi="Times New Roman" w:cs="Times New Roman"/>
          <w:sz w:val="24"/>
          <w:szCs w:val="24"/>
        </w:rPr>
        <w:t xml:space="preserve"> (Gogotsi, 2006)</w:t>
      </w:r>
      <w:r w:rsidR="00044720">
        <w:rPr>
          <w:rFonts w:ascii="Times New Roman" w:hAnsi="Times New Roman" w:cs="Times New Roman"/>
          <w:sz w:val="24"/>
          <w:szCs w:val="24"/>
        </w:rPr>
        <w:t xml:space="preserve">. </w:t>
      </w:r>
      <w:r w:rsidR="00472272">
        <w:rPr>
          <w:rFonts w:ascii="Times New Roman" w:hAnsi="Times New Roman" w:cs="Times New Roman"/>
          <w:sz w:val="24"/>
          <w:szCs w:val="24"/>
        </w:rPr>
        <w:t xml:space="preserve">Elektrienergia salvestina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="00472272">
        <w:rPr>
          <w:rFonts w:ascii="Times New Roman" w:hAnsi="Times New Roman" w:cs="Times New Roman"/>
          <w:sz w:val="24"/>
          <w:szCs w:val="24"/>
        </w:rPr>
        <w:t>suurt energeetilist väärtust omavate gaaside sidujana on väga häid tulemusi näidanud karbiidset päritolu süsinik</w:t>
      </w:r>
      <w:r w:rsidR="007C0DEA">
        <w:rPr>
          <w:rFonts w:ascii="Times New Roman" w:hAnsi="Times New Roman" w:cs="Times New Roman"/>
          <w:sz w:val="24"/>
          <w:szCs w:val="24"/>
        </w:rPr>
        <w:t xml:space="preserve"> (Arulepp</w:t>
      </w:r>
      <w:r w:rsidR="007249AC">
        <w:rPr>
          <w:rFonts w:ascii="Times New Roman" w:hAnsi="Times New Roman" w:cs="Times New Roman"/>
          <w:sz w:val="24"/>
          <w:szCs w:val="24"/>
        </w:rPr>
        <w:t xml:space="preserve"> </w:t>
      </w:r>
      <w:r w:rsidR="007249AC" w:rsidRPr="007249AC">
        <w:rPr>
          <w:rFonts w:ascii="Times New Roman" w:hAnsi="Times New Roman" w:cs="Times New Roman"/>
          <w:i/>
          <w:sz w:val="24"/>
          <w:szCs w:val="24"/>
        </w:rPr>
        <w:t>et al.</w:t>
      </w:r>
      <w:r w:rsidR="007C0DEA">
        <w:rPr>
          <w:rFonts w:ascii="Times New Roman" w:hAnsi="Times New Roman" w:cs="Times New Roman"/>
          <w:sz w:val="24"/>
          <w:szCs w:val="24"/>
        </w:rPr>
        <w:t>, 2006)</w:t>
      </w:r>
      <w:r w:rsidRPr="00EF4668">
        <w:rPr>
          <w:rFonts w:ascii="Times New Roman" w:hAnsi="Times New Roman" w:cs="Times New Roman"/>
          <w:sz w:val="24"/>
          <w:szCs w:val="24"/>
        </w:rPr>
        <w:t>.</w:t>
      </w:r>
      <w:r w:rsidR="00472272">
        <w:rPr>
          <w:rFonts w:ascii="Times New Roman" w:hAnsi="Times New Roman" w:cs="Times New Roman"/>
          <w:sz w:val="24"/>
          <w:szCs w:val="24"/>
        </w:rPr>
        <w:t xml:space="preserve"> Tegemist on nanost</w:t>
      </w:r>
      <w:r w:rsidR="009327A3">
        <w:rPr>
          <w:rFonts w:ascii="Times New Roman" w:hAnsi="Times New Roman" w:cs="Times New Roman"/>
          <w:sz w:val="24"/>
          <w:szCs w:val="24"/>
        </w:rPr>
        <w:t>ruktuurse süsinikmaterjaliga, mida iseloomustab suur eripind (kuni 2500 cm</w:t>
      </w:r>
      <w:r w:rsidR="009327A3" w:rsidRPr="00B20B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27A3">
        <w:rPr>
          <w:rFonts w:ascii="Times New Roman" w:hAnsi="Times New Roman" w:cs="Times New Roman"/>
          <w:sz w:val="24"/>
          <w:szCs w:val="24"/>
        </w:rPr>
        <w:t>/g). Märkimisv</w:t>
      </w:r>
      <w:r w:rsidR="00BF08CD">
        <w:rPr>
          <w:rFonts w:ascii="Times New Roman" w:hAnsi="Times New Roman" w:cs="Times New Roman"/>
          <w:sz w:val="24"/>
          <w:szCs w:val="24"/>
        </w:rPr>
        <w:t>äärne eripind on saavutatav</w:t>
      </w:r>
      <w:r w:rsidR="009327A3">
        <w:rPr>
          <w:rFonts w:ascii="Times New Roman" w:hAnsi="Times New Roman" w:cs="Times New Roman"/>
          <w:sz w:val="24"/>
          <w:szCs w:val="24"/>
        </w:rPr>
        <w:t xml:space="preserve"> deformeerunud grafeenikihtide vahel moodu</w:t>
      </w:r>
      <w:r w:rsidR="004A2452">
        <w:rPr>
          <w:rFonts w:ascii="Times New Roman" w:hAnsi="Times New Roman" w:cs="Times New Roman"/>
          <w:sz w:val="24"/>
          <w:szCs w:val="24"/>
        </w:rPr>
        <w:t>s</w:t>
      </w:r>
      <w:r w:rsidR="009327A3">
        <w:rPr>
          <w:rFonts w:ascii="Times New Roman" w:hAnsi="Times New Roman" w:cs="Times New Roman"/>
          <w:sz w:val="24"/>
          <w:szCs w:val="24"/>
        </w:rPr>
        <w:t>tuvate üliväikeste</w:t>
      </w:r>
      <w:r w:rsidR="00BF08CD">
        <w:rPr>
          <w:rFonts w:ascii="Times New Roman" w:hAnsi="Times New Roman" w:cs="Times New Roman"/>
          <w:sz w:val="24"/>
          <w:szCs w:val="24"/>
        </w:rPr>
        <w:t xml:space="preserve"> ligikaudu nanomeetri suurusjärgus olevate õõnsuste tõttu. Nende õõnsuste olemasolu teeb võimalikuks ka elektrilaengu salvestam</w:t>
      </w:r>
      <w:r w:rsidR="00616977">
        <w:rPr>
          <w:rFonts w:ascii="Times New Roman" w:hAnsi="Times New Roman" w:cs="Times New Roman"/>
          <w:sz w:val="24"/>
          <w:szCs w:val="24"/>
        </w:rPr>
        <w:t xml:space="preserve">ise taolisestes materjalides. </w:t>
      </w:r>
      <w:r w:rsidR="00EE7392">
        <w:rPr>
          <w:rFonts w:ascii="Times New Roman" w:hAnsi="Times New Roman" w:cs="Times New Roman"/>
          <w:sz w:val="24"/>
          <w:szCs w:val="24"/>
        </w:rPr>
        <w:t>N</w:t>
      </w:r>
      <w:r w:rsidR="00BF08CD">
        <w:rPr>
          <w:rFonts w:ascii="Times New Roman" w:hAnsi="Times New Roman" w:cs="Times New Roman"/>
          <w:sz w:val="24"/>
          <w:szCs w:val="24"/>
        </w:rPr>
        <w:t>anopoorsest süsinikus</w:t>
      </w:r>
      <w:r w:rsidR="00616977">
        <w:rPr>
          <w:rFonts w:ascii="Times New Roman" w:hAnsi="Times New Roman" w:cs="Times New Roman"/>
          <w:sz w:val="24"/>
          <w:szCs w:val="24"/>
        </w:rPr>
        <w:t>t</w:t>
      </w:r>
      <w:r w:rsidR="00BF08CD">
        <w:rPr>
          <w:rFonts w:ascii="Times New Roman" w:hAnsi="Times New Roman" w:cs="Times New Roman"/>
          <w:sz w:val="24"/>
          <w:szCs w:val="24"/>
        </w:rPr>
        <w:t xml:space="preserve"> konstrueeritud </w:t>
      </w:r>
      <w:r w:rsidR="00EE7392">
        <w:rPr>
          <w:rFonts w:ascii="Times New Roman" w:hAnsi="Times New Roman" w:cs="Times New Roman"/>
          <w:sz w:val="24"/>
          <w:szCs w:val="24"/>
        </w:rPr>
        <w:t>elektrilise</w:t>
      </w:r>
      <w:r w:rsidR="006A4EF0">
        <w:rPr>
          <w:rFonts w:ascii="Times New Roman" w:hAnsi="Times New Roman" w:cs="Times New Roman"/>
          <w:sz w:val="24"/>
          <w:szCs w:val="24"/>
        </w:rPr>
        <w:t xml:space="preserve"> </w:t>
      </w:r>
      <w:r w:rsidR="00BF08CD">
        <w:rPr>
          <w:rFonts w:ascii="Times New Roman" w:hAnsi="Times New Roman" w:cs="Times New Roman"/>
          <w:sz w:val="24"/>
          <w:szCs w:val="24"/>
        </w:rPr>
        <w:t>energia salvestusseadmed on tuntud kui superkondensaatorid</w:t>
      </w:r>
      <w:r w:rsidR="00616977">
        <w:rPr>
          <w:rFonts w:ascii="Times New Roman" w:hAnsi="Times New Roman" w:cs="Times New Roman"/>
          <w:sz w:val="24"/>
          <w:szCs w:val="24"/>
        </w:rPr>
        <w:t xml:space="preserve"> ja nagu nimigi viitab on tegemist seadeldistega kuhu on võimalik salvestada väga suurel hulgal elektrilaengut</w:t>
      </w:r>
      <w:r w:rsidR="00BF08CD">
        <w:rPr>
          <w:rFonts w:ascii="Times New Roman" w:hAnsi="Times New Roman" w:cs="Times New Roman"/>
          <w:sz w:val="24"/>
          <w:szCs w:val="24"/>
        </w:rPr>
        <w:t xml:space="preserve">. Sellistes seadmetes on süsinikumaterjali </w:t>
      </w:r>
      <w:r w:rsidR="004B4D1C">
        <w:rPr>
          <w:rFonts w:ascii="Times New Roman" w:hAnsi="Times New Roman" w:cs="Times New Roman"/>
          <w:sz w:val="24"/>
          <w:szCs w:val="24"/>
        </w:rPr>
        <w:t>eri</w:t>
      </w:r>
      <w:r w:rsidR="00BF08CD">
        <w:rPr>
          <w:rFonts w:ascii="Times New Roman" w:hAnsi="Times New Roman" w:cs="Times New Roman"/>
          <w:sz w:val="24"/>
          <w:szCs w:val="24"/>
        </w:rPr>
        <w:t xml:space="preserve">mahtuvuseks </w:t>
      </w:r>
      <w:r w:rsidR="004B4D1C">
        <w:rPr>
          <w:rFonts w:ascii="Times New Roman" w:hAnsi="Times New Roman" w:cs="Times New Roman"/>
          <w:sz w:val="24"/>
          <w:szCs w:val="24"/>
        </w:rPr>
        <w:t xml:space="preserve">määratud </w:t>
      </w:r>
      <w:r w:rsidR="004B4D1C" w:rsidRPr="004B4D1C">
        <w:rPr>
          <w:rFonts w:ascii="Times New Roman" w:hAnsi="Times New Roman" w:cs="Times New Roman"/>
          <w:sz w:val="24"/>
          <w:szCs w:val="24"/>
        </w:rPr>
        <w:t>kuni 130 F/g ja 90</w:t>
      </w:r>
      <w:r w:rsidR="00CB769D">
        <w:rPr>
          <w:rFonts w:ascii="Times New Roman" w:hAnsi="Times New Roman" w:cs="Times New Roman"/>
          <w:sz w:val="24"/>
          <w:szCs w:val="24"/>
        </w:rPr>
        <w:t xml:space="preserve"> </w:t>
      </w:r>
      <w:r w:rsidR="004B4D1C" w:rsidRPr="004B4D1C">
        <w:rPr>
          <w:rFonts w:ascii="Times New Roman" w:hAnsi="Times New Roman" w:cs="Times New Roman"/>
          <w:sz w:val="24"/>
          <w:szCs w:val="24"/>
        </w:rPr>
        <w:t>F/cm</w:t>
      </w:r>
      <w:r w:rsidR="004B4D1C" w:rsidRPr="004B4D1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79B2">
        <w:rPr>
          <w:rFonts w:ascii="Times New Roman" w:hAnsi="Times New Roman" w:cs="Times New Roman"/>
          <w:sz w:val="24"/>
          <w:szCs w:val="24"/>
        </w:rPr>
        <w:t xml:space="preserve"> (Leis</w:t>
      </w:r>
      <w:r w:rsidR="007249AC">
        <w:rPr>
          <w:rFonts w:ascii="Times New Roman" w:hAnsi="Times New Roman" w:cs="Times New Roman"/>
          <w:sz w:val="24"/>
          <w:szCs w:val="24"/>
        </w:rPr>
        <w:t xml:space="preserve"> </w:t>
      </w:r>
      <w:r w:rsidR="007249AC" w:rsidRPr="007249AC">
        <w:rPr>
          <w:rFonts w:ascii="Times New Roman" w:hAnsi="Times New Roman" w:cs="Times New Roman"/>
          <w:i/>
          <w:sz w:val="24"/>
          <w:szCs w:val="24"/>
        </w:rPr>
        <w:t>et al.</w:t>
      </w:r>
      <w:r w:rsidR="00D279B2">
        <w:rPr>
          <w:rFonts w:ascii="Times New Roman" w:hAnsi="Times New Roman" w:cs="Times New Roman"/>
          <w:sz w:val="24"/>
          <w:szCs w:val="24"/>
        </w:rPr>
        <w:t>, 2006)</w:t>
      </w:r>
      <w:r w:rsidR="004B4D1C">
        <w:rPr>
          <w:rFonts w:ascii="Times New Roman" w:hAnsi="Times New Roman" w:cs="Times New Roman"/>
          <w:sz w:val="24"/>
          <w:szCs w:val="24"/>
        </w:rPr>
        <w:t>.</w:t>
      </w:r>
    </w:p>
    <w:p w:rsidR="004A2452" w:rsidRDefault="00FE5C17" w:rsidP="00EF4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Nanostruktuursel süsinikul on mitmeid </w:t>
      </w:r>
      <w:r w:rsidR="004A2452">
        <w:rPr>
          <w:rFonts w:ascii="Times New Roman" w:hAnsi="Times New Roman" w:cs="Times New Roman"/>
          <w:sz w:val="24"/>
          <w:szCs w:val="24"/>
        </w:rPr>
        <w:t xml:space="preserve">teisigi </w:t>
      </w:r>
      <w:r>
        <w:rPr>
          <w:rFonts w:ascii="Times New Roman" w:hAnsi="Times New Roman" w:cs="Times New Roman"/>
          <w:sz w:val="24"/>
          <w:szCs w:val="24"/>
        </w:rPr>
        <w:t>kasutusvaldkondi: gaaside</w:t>
      </w:r>
      <w:r w:rsidR="004A2452">
        <w:rPr>
          <w:rFonts w:ascii="Times New Roman" w:hAnsi="Times New Roman" w:cs="Times New Roman"/>
          <w:sz w:val="24"/>
          <w:szCs w:val="24"/>
        </w:rPr>
        <w:t xml:space="preserve"> ja vedelike adsorptsioon ning</w:t>
      </w:r>
      <w:r w:rsidR="004A34DF">
        <w:rPr>
          <w:rFonts w:ascii="Times New Roman" w:hAnsi="Times New Roman" w:cs="Times New Roman"/>
          <w:sz w:val="24"/>
          <w:szCs w:val="24"/>
        </w:rPr>
        <w:t xml:space="preserve"> elektroonika. Süsiniku adsorptsioonil</w:t>
      </w:r>
      <w:r w:rsidR="006A4EF0">
        <w:rPr>
          <w:rFonts w:ascii="Times New Roman" w:hAnsi="Times New Roman" w:cs="Times New Roman"/>
          <w:sz w:val="24"/>
          <w:szCs w:val="24"/>
        </w:rPr>
        <w:t xml:space="preserve">isi omadusi on kasutatud </w:t>
      </w:r>
      <w:r w:rsidR="00734A99">
        <w:rPr>
          <w:rFonts w:ascii="Times New Roman" w:hAnsi="Times New Roman" w:cs="Times New Roman"/>
          <w:sz w:val="24"/>
          <w:szCs w:val="24"/>
        </w:rPr>
        <w:t>juba pika aja jooksul</w:t>
      </w:r>
      <w:r w:rsidR="004A34DF">
        <w:rPr>
          <w:rFonts w:ascii="Times New Roman" w:hAnsi="Times New Roman" w:cs="Times New Roman"/>
          <w:sz w:val="24"/>
          <w:szCs w:val="24"/>
        </w:rPr>
        <w:t xml:space="preserve"> ja palju inimelusid päästis ta esimeses maailmasõjas kasutatud r</w:t>
      </w:r>
      <w:r w:rsidR="008C3BE4">
        <w:rPr>
          <w:rFonts w:ascii="Times New Roman" w:hAnsi="Times New Roman" w:cs="Times New Roman"/>
          <w:sz w:val="24"/>
          <w:szCs w:val="24"/>
        </w:rPr>
        <w:t>ündegaasi – kloori sidumisel. Tavatarbijate hulgas on igapäevaselt suure eripinnal</w:t>
      </w:r>
      <w:r w:rsidR="00FC6FBD">
        <w:rPr>
          <w:rFonts w:ascii="Times New Roman" w:hAnsi="Times New Roman" w:cs="Times New Roman"/>
          <w:sz w:val="24"/>
          <w:szCs w:val="24"/>
        </w:rPr>
        <w:t>i</w:t>
      </w:r>
      <w:r w:rsidR="008C3BE4">
        <w:rPr>
          <w:rFonts w:ascii="Times New Roman" w:hAnsi="Times New Roman" w:cs="Times New Roman"/>
          <w:sz w:val="24"/>
          <w:szCs w:val="24"/>
        </w:rPr>
        <w:t>sed  süsinikmaterjalid kasutusel veepuhastites ja erinevates filtersüsteemides.</w:t>
      </w:r>
      <w:r w:rsidR="006746A6">
        <w:rPr>
          <w:rFonts w:ascii="Times New Roman" w:hAnsi="Times New Roman" w:cs="Times New Roman"/>
          <w:sz w:val="24"/>
          <w:szCs w:val="24"/>
        </w:rPr>
        <w:t xml:space="preserve"> Poorse struktuuriga süsinikplaadid on leidnud ka rakendust muu</w:t>
      </w:r>
      <w:r w:rsidR="00734A99">
        <w:rPr>
          <w:rFonts w:ascii="Times New Roman" w:hAnsi="Times New Roman" w:cs="Times New Roman"/>
          <w:sz w:val="24"/>
          <w:szCs w:val="24"/>
        </w:rPr>
        <w:t>tmaks merevett joogikõlblikuks:</w:t>
      </w:r>
      <w:r w:rsidR="00FC6FBD">
        <w:rPr>
          <w:rFonts w:ascii="Times New Roman" w:hAnsi="Times New Roman" w:cs="Times New Roman"/>
          <w:sz w:val="24"/>
          <w:szCs w:val="24"/>
        </w:rPr>
        <w:t xml:space="preserve"> süsinikplaatidele rake</w:t>
      </w:r>
      <w:r w:rsidR="006746A6">
        <w:rPr>
          <w:rFonts w:ascii="Times New Roman" w:hAnsi="Times New Roman" w:cs="Times New Roman"/>
          <w:sz w:val="24"/>
          <w:szCs w:val="24"/>
        </w:rPr>
        <w:t>ndatud pinge tulemusena seotakse ioonid plaadi pinnale ja pooridesse.</w:t>
      </w:r>
      <w:r w:rsidR="009A6DD9">
        <w:rPr>
          <w:rFonts w:ascii="Times New Roman" w:hAnsi="Times New Roman" w:cs="Times New Roman"/>
          <w:sz w:val="24"/>
          <w:szCs w:val="24"/>
        </w:rPr>
        <w:t xml:space="preserve"> Väga huvipakkuvaks on osutunud taoliste </w:t>
      </w:r>
      <w:r w:rsidR="00D45329">
        <w:rPr>
          <w:rFonts w:ascii="Times New Roman" w:hAnsi="Times New Roman" w:cs="Times New Roman"/>
          <w:sz w:val="24"/>
          <w:szCs w:val="24"/>
        </w:rPr>
        <w:t>materjalide võim</w:t>
      </w:r>
      <w:r w:rsidR="00152855">
        <w:rPr>
          <w:rFonts w:ascii="Times New Roman" w:hAnsi="Times New Roman" w:cs="Times New Roman"/>
          <w:sz w:val="24"/>
          <w:szCs w:val="24"/>
        </w:rPr>
        <w:t>e salvestada vesinikku koguni 4,</w:t>
      </w:r>
      <w:r w:rsidR="00D45329">
        <w:rPr>
          <w:rFonts w:ascii="Times New Roman" w:hAnsi="Times New Roman" w:cs="Times New Roman"/>
          <w:sz w:val="24"/>
          <w:szCs w:val="24"/>
        </w:rPr>
        <w:t xml:space="preserve">5 massiprotsendi ulatuses, näiteks süsiniknanotorude vesiniku salvestusvõime on ligikaudu kolm korda väiksem. </w:t>
      </w:r>
      <w:r w:rsidR="00B02150">
        <w:rPr>
          <w:rFonts w:ascii="Times New Roman" w:hAnsi="Times New Roman" w:cs="Times New Roman"/>
          <w:sz w:val="24"/>
          <w:szCs w:val="24"/>
        </w:rPr>
        <w:t>Vesinikust on laialdaselt diskuteeritud kui ühest prioriteetsemast alternatiivkütusest leevendamaks lähiajal puhkevat energiakriisi.</w:t>
      </w:r>
    </w:p>
    <w:p w:rsidR="00621156" w:rsidRDefault="00621156" w:rsidP="00EF4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156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5579745" cy="2143678"/>
            <wp:effectExtent l="19050" t="0" r="1905" b="0"/>
            <wp:docPr id="6" name="Picture 2" descr="Carbon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bonStru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2143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156" w:rsidRDefault="00E352EA" w:rsidP="00EF4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 1. Nanostruktuurse süsiniku mudel (a) ja kõrglahutusega elektronmikroskoobi (HRTEM) ülesvõte karbiidset päritolu süsinikust (b).</w:t>
      </w:r>
    </w:p>
    <w:p w:rsidR="00044720" w:rsidRDefault="008C086E" w:rsidP="00EF4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Ajalooliselt on süsinikamaterjalide kasutusnäiteid e</w:t>
      </w:r>
      <w:r w:rsidR="00B02150">
        <w:rPr>
          <w:rFonts w:ascii="Times New Roman" w:hAnsi="Times New Roman" w:cs="Times New Roman"/>
          <w:sz w:val="24"/>
          <w:szCs w:val="24"/>
        </w:rPr>
        <w:t>lektrienergiat talletavates sead</w:t>
      </w:r>
      <w:r>
        <w:rPr>
          <w:rFonts w:ascii="Times New Roman" w:hAnsi="Times New Roman" w:cs="Times New Roman"/>
          <w:sz w:val="24"/>
          <w:szCs w:val="24"/>
        </w:rPr>
        <w:t>metes väga hulgaliselt, kuid eeskätt puudutavad need süsiniku allotroobi – grafiidiga</w:t>
      </w:r>
      <w:r w:rsidR="00A07217">
        <w:rPr>
          <w:rFonts w:ascii="Times New Roman" w:hAnsi="Times New Roman" w:cs="Times New Roman"/>
          <w:sz w:val="24"/>
          <w:szCs w:val="24"/>
        </w:rPr>
        <w:t xml:space="preserve"> seotud rakendusi</w:t>
      </w:r>
      <w:r w:rsidR="00152855">
        <w:rPr>
          <w:rFonts w:ascii="Times New Roman" w:hAnsi="Times New Roman" w:cs="Times New Roman"/>
          <w:sz w:val="24"/>
          <w:szCs w:val="24"/>
        </w:rPr>
        <w:t xml:space="preserve"> (Conway, 1999)</w:t>
      </w:r>
      <w:r w:rsidR="00A07217">
        <w:rPr>
          <w:rFonts w:ascii="Times New Roman" w:hAnsi="Times New Roman" w:cs="Times New Roman"/>
          <w:sz w:val="24"/>
          <w:szCs w:val="24"/>
        </w:rPr>
        <w:t>. Klassikaliste st. mittelaetavate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B02150">
        <w:rPr>
          <w:rFonts w:ascii="Times New Roman" w:hAnsi="Times New Roman" w:cs="Times New Roman"/>
          <w:sz w:val="24"/>
          <w:szCs w:val="24"/>
        </w:rPr>
        <w:t>ooluallikate koostises on grafiit väga levinud</w:t>
      </w:r>
      <w:r w:rsidR="00E8389A">
        <w:rPr>
          <w:rFonts w:ascii="Times New Roman" w:hAnsi="Times New Roman" w:cs="Times New Roman"/>
          <w:sz w:val="24"/>
          <w:szCs w:val="24"/>
        </w:rPr>
        <w:t>. Kuigi selliste elementide näol on tegemist ühe kalleima energia</w:t>
      </w:r>
      <w:r w:rsidR="00FC6FBD">
        <w:rPr>
          <w:rFonts w:ascii="Times New Roman" w:hAnsi="Times New Roman" w:cs="Times New Roman"/>
          <w:sz w:val="24"/>
          <w:szCs w:val="24"/>
        </w:rPr>
        <w:t>a</w:t>
      </w:r>
      <w:r w:rsidR="00E8389A">
        <w:rPr>
          <w:rFonts w:ascii="Times New Roman" w:hAnsi="Times New Roman" w:cs="Times New Roman"/>
          <w:sz w:val="24"/>
          <w:szCs w:val="24"/>
        </w:rPr>
        <w:t xml:space="preserve">llikaga </w:t>
      </w:r>
      <w:r w:rsidR="00E8389A">
        <w:rPr>
          <w:rFonts w:ascii="Times New Roman" w:hAnsi="Times New Roman" w:cs="Times New Roman"/>
          <w:sz w:val="24"/>
          <w:szCs w:val="24"/>
        </w:rPr>
        <w:lastRenderedPageBreak/>
        <w:t xml:space="preserve">tavatarbija seisukohalt, on primaarsetel vooluallikatel </w:t>
      </w:r>
      <w:r w:rsidR="00BA19EA">
        <w:rPr>
          <w:rFonts w:ascii="Times New Roman" w:hAnsi="Times New Roman" w:cs="Times New Roman"/>
          <w:sz w:val="24"/>
          <w:szCs w:val="24"/>
        </w:rPr>
        <w:t>omad tugevad eelised ja tänaseni</w:t>
      </w:r>
      <w:r w:rsidR="00E8389A">
        <w:rPr>
          <w:rFonts w:ascii="Times New Roman" w:hAnsi="Times New Roman" w:cs="Times New Roman"/>
          <w:sz w:val="24"/>
          <w:szCs w:val="24"/>
        </w:rPr>
        <w:t xml:space="preserve"> on tootmises 1860-ndatel välja pakutud süsteemi analoogid, tõsi küll kaasaegsemal kujul. </w:t>
      </w:r>
      <w:r w:rsidR="00092EB6">
        <w:rPr>
          <w:rFonts w:ascii="Times New Roman" w:hAnsi="Times New Roman" w:cs="Times New Roman"/>
          <w:sz w:val="24"/>
          <w:szCs w:val="24"/>
        </w:rPr>
        <w:t>Taaslaetavate vooluallikate puhul on aga täheldatud</w:t>
      </w:r>
      <w:r w:rsidR="00E8389A">
        <w:rPr>
          <w:rFonts w:ascii="Times New Roman" w:hAnsi="Times New Roman" w:cs="Times New Roman"/>
          <w:sz w:val="24"/>
          <w:szCs w:val="24"/>
        </w:rPr>
        <w:t xml:space="preserve">, et </w:t>
      </w:r>
      <w:r w:rsidR="00092EB6">
        <w:rPr>
          <w:rFonts w:ascii="Times New Roman" w:hAnsi="Times New Roman" w:cs="Times New Roman"/>
          <w:sz w:val="24"/>
          <w:szCs w:val="24"/>
        </w:rPr>
        <w:t>graafiidi osaline asendamine nanopoorse süsinikuga parandab akude stabiilsust ja pikendab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EB6">
        <w:rPr>
          <w:rFonts w:ascii="Times New Roman" w:hAnsi="Times New Roman" w:cs="Times New Roman"/>
          <w:sz w:val="24"/>
          <w:szCs w:val="24"/>
        </w:rPr>
        <w:t>laadimis-tühjenemistsüklite arv</w:t>
      </w:r>
      <w:r w:rsidR="00152855">
        <w:rPr>
          <w:rFonts w:ascii="Times New Roman" w:hAnsi="Times New Roman" w:cs="Times New Roman"/>
          <w:sz w:val="24"/>
          <w:szCs w:val="24"/>
        </w:rPr>
        <w:t>u</w:t>
      </w:r>
      <w:r w:rsidR="00092EB6">
        <w:rPr>
          <w:rFonts w:ascii="Times New Roman" w:hAnsi="Times New Roman" w:cs="Times New Roman"/>
          <w:sz w:val="24"/>
          <w:szCs w:val="24"/>
        </w:rPr>
        <w:t>. Lisaks klassikalistele patareidele ja a</w:t>
      </w:r>
      <w:r w:rsidR="00044720">
        <w:rPr>
          <w:rFonts w:ascii="Times New Roman" w:hAnsi="Times New Roman" w:cs="Times New Roman"/>
          <w:sz w:val="24"/>
          <w:szCs w:val="24"/>
        </w:rPr>
        <w:t>kudele on viimasel ajal intensiivselt</w:t>
      </w:r>
      <w:r w:rsidR="00092EB6">
        <w:rPr>
          <w:rFonts w:ascii="Times New Roman" w:hAnsi="Times New Roman" w:cs="Times New Roman"/>
          <w:sz w:val="24"/>
          <w:szCs w:val="24"/>
        </w:rPr>
        <w:t xml:space="preserve"> hakatud arendama täiesti uut tüüpi energiasalvesteid, nn super</w:t>
      </w:r>
      <w:r w:rsidR="00BA19EA">
        <w:rPr>
          <w:rFonts w:ascii="Times New Roman" w:hAnsi="Times New Roman" w:cs="Times New Roman"/>
          <w:sz w:val="24"/>
          <w:szCs w:val="24"/>
        </w:rPr>
        <w:t>kondensaatoreid</w:t>
      </w:r>
      <w:r w:rsidR="00152855">
        <w:rPr>
          <w:rFonts w:ascii="Times New Roman" w:hAnsi="Times New Roman" w:cs="Times New Roman"/>
          <w:sz w:val="24"/>
          <w:szCs w:val="24"/>
        </w:rPr>
        <w:t xml:space="preserve"> (Gogotsi, 2006</w:t>
      </w:r>
      <w:r w:rsidR="00AD6842">
        <w:rPr>
          <w:rFonts w:ascii="Times New Roman" w:hAnsi="Times New Roman" w:cs="Times New Roman"/>
          <w:sz w:val="24"/>
          <w:szCs w:val="24"/>
        </w:rPr>
        <w:t>; Dash</w:t>
      </w:r>
      <w:r w:rsidR="007249AC">
        <w:rPr>
          <w:rFonts w:ascii="Times New Roman" w:hAnsi="Times New Roman" w:cs="Times New Roman"/>
          <w:sz w:val="24"/>
          <w:szCs w:val="24"/>
        </w:rPr>
        <w:t xml:space="preserve"> </w:t>
      </w:r>
      <w:r w:rsidR="007249AC" w:rsidRPr="007249AC">
        <w:rPr>
          <w:rFonts w:ascii="Times New Roman" w:hAnsi="Times New Roman" w:cs="Times New Roman"/>
          <w:i/>
          <w:sz w:val="24"/>
          <w:szCs w:val="24"/>
        </w:rPr>
        <w:t>et al.</w:t>
      </w:r>
      <w:r w:rsidR="007249AC">
        <w:rPr>
          <w:rFonts w:ascii="Times New Roman" w:hAnsi="Times New Roman" w:cs="Times New Roman"/>
          <w:sz w:val="24"/>
          <w:szCs w:val="24"/>
        </w:rPr>
        <w:t>, 2006</w:t>
      </w:r>
      <w:r w:rsidR="00152855">
        <w:rPr>
          <w:rFonts w:ascii="Times New Roman" w:hAnsi="Times New Roman" w:cs="Times New Roman"/>
          <w:sz w:val="24"/>
          <w:szCs w:val="24"/>
        </w:rPr>
        <w:t>)</w:t>
      </w:r>
      <w:r w:rsidR="00BA19EA">
        <w:rPr>
          <w:rFonts w:ascii="Times New Roman" w:hAnsi="Times New Roman" w:cs="Times New Roman"/>
          <w:sz w:val="24"/>
          <w:szCs w:val="24"/>
        </w:rPr>
        <w:t>. Selle seade</w:t>
      </w:r>
      <w:r w:rsidR="00092EB6">
        <w:rPr>
          <w:rFonts w:ascii="Times New Roman" w:hAnsi="Times New Roman" w:cs="Times New Roman"/>
          <w:sz w:val="24"/>
          <w:szCs w:val="24"/>
        </w:rPr>
        <w:t>ldise el</w:t>
      </w:r>
      <w:r w:rsidR="001E0453">
        <w:rPr>
          <w:rFonts w:ascii="Times New Roman" w:hAnsi="Times New Roman" w:cs="Times New Roman"/>
          <w:sz w:val="24"/>
          <w:szCs w:val="24"/>
        </w:rPr>
        <w:t>ektroodid koosnevad ainult nano</w:t>
      </w:r>
      <w:r w:rsidR="00092EB6">
        <w:rPr>
          <w:rFonts w:ascii="Times New Roman" w:hAnsi="Times New Roman" w:cs="Times New Roman"/>
          <w:sz w:val="24"/>
          <w:szCs w:val="24"/>
        </w:rPr>
        <w:t>p</w:t>
      </w:r>
      <w:r w:rsidR="001E0453">
        <w:rPr>
          <w:rFonts w:ascii="Times New Roman" w:hAnsi="Times New Roman" w:cs="Times New Roman"/>
          <w:sz w:val="24"/>
          <w:szCs w:val="24"/>
        </w:rPr>
        <w:t>oo</w:t>
      </w:r>
      <w:r w:rsidR="00092EB6">
        <w:rPr>
          <w:rFonts w:ascii="Times New Roman" w:hAnsi="Times New Roman" w:cs="Times New Roman"/>
          <w:sz w:val="24"/>
          <w:szCs w:val="24"/>
        </w:rPr>
        <w:t>rse struktuuriga suurepinnalisest süsinikust</w:t>
      </w:r>
      <w:r w:rsidR="001E0453">
        <w:rPr>
          <w:rFonts w:ascii="Times New Roman" w:hAnsi="Times New Roman" w:cs="Times New Roman"/>
          <w:sz w:val="24"/>
          <w:szCs w:val="24"/>
        </w:rPr>
        <w:t>, mis paikneb elektrolüüdiga täidetud konteineris. Elektrilaeng salvestatakse</w:t>
      </w:r>
      <w:r w:rsidR="00A07217">
        <w:rPr>
          <w:rFonts w:ascii="Times New Roman" w:hAnsi="Times New Roman" w:cs="Times New Roman"/>
          <w:sz w:val="24"/>
          <w:szCs w:val="24"/>
        </w:rPr>
        <w:t xml:space="preserve"> elektroodide pingestamisest indutseeritud </w:t>
      </w:r>
      <w:r w:rsidR="001E0453">
        <w:rPr>
          <w:rFonts w:ascii="Times New Roman" w:hAnsi="Times New Roman" w:cs="Times New Roman"/>
          <w:sz w:val="24"/>
          <w:szCs w:val="24"/>
        </w:rPr>
        <w:t>elektrolüüdi ioonide ümber</w:t>
      </w:r>
      <w:r w:rsidR="00BA19EA">
        <w:rPr>
          <w:rFonts w:ascii="Times New Roman" w:hAnsi="Times New Roman" w:cs="Times New Roman"/>
          <w:sz w:val="24"/>
          <w:szCs w:val="24"/>
        </w:rPr>
        <w:t>paiknemeise</w:t>
      </w:r>
      <w:r w:rsidR="001E0453">
        <w:rPr>
          <w:rFonts w:ascii="Times New Roman" w:hAnsi="Times New Roman" w:cs="Times New Roman"/>
          <w:sz w:val="24"/>
          <w:szCs w:val="24"/>
        </w:rPr>
        <w:t xml:space="preserve"> tulemusena poorse süsiniku </w:t>
      </w:r>
      <w:r w:rsidR="00923E83">
        <w:rPr>
          <w:rFonts w:ascii="Times New Roman" w:hAnsi="Times New Roman" w:cs="Times New Roman"/>
          <w:sz w:val="24"/>
          <w:szCs w:val="24"/>
        </w:rPr>
        <w:t>pinnal. Süsteemis m</w:t>
      </w:r>
      <w:r w:rsidR="001E0453">
        <w:rPr>
          <w:rFonts w:ascii="Times New Roman" w:hAnsi="Times New Roman" w:cs="Times New Roman"/>
          <w:sz w:val="24"/>
          <w:szCs w:val="24"/>
        </w:rPr>
        <w:t xml:space="preserve">oodustub nn. elektriline kaksikkiht </w:t>
      </w:r>
      <w:r w:rsidR="00A07217">
        <w:rPr>
          <w:rFonts w:ascii="Times New Roman" w:hAnsi="Times New Roman" w:cs="Times New Roman"/>
          <w:sz w:val="24"/>
          <w:szCs w:val="24"/>
        </w:rPr>
        <w:t xml:space="preserve">ja kuna keemilisi reaktsioone – protsesse, </w:t>
      </w:r>
      <w:r w:rsidR="00923E83">
        <w:rPr>
          <w:rFonts w:ascii="Times New Roman" w:hAnsi="Times New Roman" w:cs="Times New Roman"/>
          <w:sz w:val="24"/>
          <w:szCs w:val="24"/>
        </w:rPr>
        <w:t>mis aku</w:t>
      </w:r>
      <w:r w:rsidR="00A07217">
        <w:rPr>
          <w:rFonts w:ascii="Times New Roman" w:hAnsi="Times New Roman" w:cs="Times New Roman"/>
          <w:sz w:val="24"/>
          <w:szCs w:val="24"/>
        </w:rPr>
        <w:t xml:space="preserve">de puhul „väsitavad“ elektroode - </w:t>
      </w:r>
      <w:r w:rsidR="00923E83">
        <w:rPr>
          <w:rFonts w:ascii="Times New Roman" w:hAnsi="Times New Roman" w:cs="Times New Roman"/>
          <w:sz w:val="24"/>
          <w:szCs w:val="24"/>
        </w:rPr>
        <w:t>ei esine, siis on superkondensaatorite tööiga oluliselt pikem akude omast.</w:t>
      </w:r>
      <w:r w:rsidR="00044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3CC" w:rsidRDefault="004A34DF" w:rsidP="00F85E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Selles</w:t>
      </w:r>
      <w:r w:rsidR="00FE5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uurimuses keskendutakse </w:t>
      </w:r>
      <w:r w:rsidR="00F85E55">
        <w:rPr>
          <w:rFonts w:ascii="Times New Roman" w:hAnsi="Times New Roman" w:cs="Times New Roman"/>
          <w:sz w:val="24"/>
          <w:szCs w:val="24"/>
        </w:rPr>
        <w:t>superkondensaatorilaadse</w:t>
      </w:r>
      <w:r w:rsidR="00A07217">
        <w:rPr>
          <w:rFonts w:ascii="Times New Roman" w:hAnsi="Times New Roman" w:cs="Times New Roman"/>
          <w:sz w:val="24"/>
          <w:szCs w:val="24"/>
        </w:rPr>
        <w:t>te</w:t>
      </w:r>
      <w:r w:rsidR="00F85E55">
        <w:rPr>
          <w:rFonts w:ascii="Times New Roman" w:hAnsi="Times New Roman" w:cs="Times New Roman"/>
          <w:sz w:val="24"/>
          <w:szCs w:val="24"/>
        </w:rPr>
        <w:t xml:space="preserve"> </w:t>
      </w:r>
      <w:r w:rsidR="007A13CC">
        <w:rPr>
          <w:rFonts w:ascii="Times New Roman" w:hAnsi="Times New Roman" w:cs="Times New Roman"/>
          <w:sz w:val="24"/>
          <w:szCs w:val="24"/>
        </w:rPr>
        <w:t>täituri</w:t>
      </w:r>
      <w:r w:rsidR="00A07217">
        <w:rPr>
          <w:rFonts w:ascii="Times New Roman" w:hAnsi="Times New Roman" w:cs="Times New Roman"/>
          <w:sz w:val="24"/>
          <w:szCs w:val="24"/>
        </w:rPr>
        <w:t>te</w:t>
      </w:r>
      <w:r w:rsidR="007A13CC">
        <w:rPr>
          <w:rFonts w:ascii="Times New Roman" w:hAnsi="Times New Roman" w:cs="Times New Roman"/>
          <w:sz w:val="24"/>
          <w:szCs w:val="24"/>
        </w:rPr>
        <w:t xml:space="preserve"> pingestamisel</w:t>
      </w:r>
      <w:r w:rsidR="00F85E55">
        <w:rPr>
          <w:rFonts w:ascii="Times New Roman" w:hAnsi="Times New Roman" w:cs="Times New Roman"/>
          <w:sz w:val="24"/>
          <w:szCs w:val="24"/>
        </w:rPr>
        <w:t xml:space="preserve"> esinevatele elektroaktiivsetele efektidele, mis senini olid vähetuntud. </w:t>
      </w:r>
      <w:r w:rsidR="005A2D9C" w:rsidRPr="005A2D9C">
        <w:rPr>
          <w:rFonts w:ascii="Times New Roman" w:hAnsi="Times New Roman" w:cs="Times New Roman"/>
          <w:sz w:val="24"/>
          <w:szCs w:val="24"/>
        </w:rPr>
        <w:t>Mitmed</w:t>
      </w:r>
      <w:r w:rsidRPr="005A2D9C">
        <w:rPr>
          <w:rFonts w:ascii="Times New Roman" w:hAnsi="Times New Roman" w:cs="Times New Roman"/>
          <w:sz w:val="24"/>
          <w:szCs w:val="24"/>
        </w:rPr>
        <w:t xml:space="preserve"> </w:t>
      </w:r>
      <w:r w:rsidR="00A07217" w:rsidRPr="005A2D9C">
        <w:rPr>
          <w:rFonts w:ascii="Times New Roman" w:hAnsi="Times New Roman" w:cs="Times New Roman"/>
          <w:sz w:val="24"/>
          <w:szCs w:val="24"/>
        </w:rPr>
        <w:t xml:space="preserve">varasemad </w:t>
      </w:r>
      <w:r w:rsidR="005A2D9C" w:rsidRPr="005A2D9C">
        <w:rPr>
          <w:rFonts w:ascii="Times New Roman" w:hAnsi="Times New Roman" w:cs="Times New Roman"/>
          <w:sz w:val="24"/>
          <w:szCs w:val="24"/>
        </w:rPr>
        <w:t>uuringud on täheldanud</w:t>
      </w:r>
      <w:r w:rsidRPr="005A2D9C">
        <w:rPr>
          <w:rFonts w:ascii="Times New Roman" w:hAnsi="Times New Roman" w:cs="Times New Roman"/>
          <w:sz w:val="24"/>
          <w:szCs w:val="24"/>
        </w:rPr>
        <w:t xml:space="preserve"> </w:t>
      </w:r>
      <w:r w:rsidR="00FE5C17" w:rsidRPr="005A2D9C">
        <w:rPr>
          <w:rFonts w:ascii="Times New Roman" w:hAnsi="Times New Roman" w:cs="Times New Roman"/>
          <w:sz w:val="24"/>
          <w:szCs w:val="24"/>
        </w:rPr>
        <w:t>poorsete</w:t>
      </w:r>
      <w:r w:rsidRPr="005A2D9C">
        <w:rPr>
          <w:rFonts w:ascii="Times New Roman" w:hAnsi="Times New Roman" w:cs="Times New Roman"/>
          <w:sz w:val="24"/>
          <w:szCs w:val="24"/>
        </w:rPr>
        <w:t xml:space="preserve"> </w:t>
      </w:r>
      <w:r w:rsidR="00FE5C17" w:rsidRPr="005A2D9C">
        <w:rPr>
          <w:rFonts w:ascii="Times New Roman" w:hAnsi="Times New Roman" w:cs="Times New Roman"/>
          <w:sz w:val="24"/>
          <w:szCs w:val="24"/>
        </w:rPr>
        <w:t>süsinikmaterjalide dilatomeetrilisi omadusi st. ele</w:t>
      </w:r>
      <w:r w:rsidR="005A2D9C" w:rsidRPr="005A2D9C">
        <w:rPr>
          <w:rFonts w:ascii="Times New Roman" w:hAnsi="Times New Roman" w:cs="Times New Roman"/>
          <w:sz w:val="24"/>
          <w:szCs w:val="24"/>
        </w:rPr>
        <w:t>ktriväljas avalduvad</w:t>
      </w:r>
      <w:r w:rsidR="00FE5C17" w:rsidRPr="005A2D9C">
        <w:rPr>
          <w:rFonts w:ascii="Times New Roman" w:hAnsi="Times New Roman" w:cs="Times New Roman"/>
          <w:sz w:val="24"/>
          <w:szCs w:val="24"/>
        </w:rPr>
        <w:t xml:space="preserve"> </w:t>
      </w:r>
      <w:r w:rsidR="002838BC" w:rsidRPr="005A2D9C">
        <w:rPr>
          <w:rFonts w:ascii="Times New Roman" w:hAnsi="Times New Roman" w:cs="Times New Roman"/>
          <w:sz w:val="24"/>
          <w:szCs w:val="24"/>
        </w:rPr>
        <w:t xml:space="preserve">süsinikmaterjalidest valmistatud õhukeste </w:t>
      </w:r>
      <w:r w:rsidR="00A07217" w:rsidRPr="005A2D9C">
        <w:rPr>
          <w:rFonts w:ascii="Times New Roman" w:hAnsi="Times New Roman" w:cs="Times New Roman"/>
          <w:sz w:val="24"/>
          <w:szCs w:val="24"/>
        </w:rPr>
        <w:t>kilede</w:t>
      </w:r>
      <w:r w:rsidR="002838BC" w:rsidRPr="005A2D9C">
        <w:rPr>
          <w:rFonts w:ascii="Times New Roman" w:hAnsi="Times New Roman" w:cs="Times New Roman"/>
          <w:sz w:val="24"/>
          <w:szCs w:val="24"/>
        </w:rPr>
        <w:t xml:space="preserve"> ruumalalised muutused</w:t>
      </w:r>
      <w:r w:rsidR="00B94410" w:rsidRPr="005A2D9C">
        <w:rPr>
          <w:rFonts w:ascii="Times New Roman" w:hAnsi="Times New Roman" w:cs="Times New Roman"/>
          <w:sz w:val="24"/>
          <w:szCs w:val="24"/>
        </w:rPr>
        <w:t xml:space="preserve"> (</w:t>
      </w:r>
      <w:r w:rsidR="00D279B2" w:rsidRPr="005A2D9C">
        <w:rPr>
          <w:rFonts w:ascii="Times New Roman" w:hAnsi="Times New Roman" w:cs="Times New Roman"/>
          <w:sz w:val="24"/>
          <w:szCs w:val="24"/>
        </w:rPr>
        <w:t>Hahn</w:t>
      </w:r>
      <w:r w:rsidR="007249AC" w:rsidRPr="005A2D9C">
        <w:rPr>
          <w:rFonts w:ascii="Times New Roman" w:hAnsi="Times New Roman" w:cs="Times New Roman"/>
          <w:sz w:val="24"/>
          <w:szCs w:val="24"/>
        </w:rPr>
        <w:t xml:space="preserve"> </w:t>
      </w:r>
      <w:r w:rsidR="007249AC" w:rsidRPr="005A2D9C">
        <w:rPr>
          <w:rFonts w:ascii="Times New Roman" w:hAnsi="Times New Roman" w:cs="Times New Roman"/>
          <w:i/>
          <w:sz w:val="24"/>
          <w:szCs w:val="24"/>
        </w:rPr>
        <w:t>et al.</w:t>
      </w:r>
      <w:r w:rsidR="00D279B2" w:rsidRPr="005A2D9C">
        <w:rPr>
          <w:rFonts w:ascii="Times New Roman" w:hAnsi="Times New Roman" w:cs="Times New Roman"/>
          <w:sz w:val="24"/>
          <w:szCs w:val="24"/>
        </w:rPr>
        <w:t>, 2006)</w:t>
      </w:r>
      <w:r w:rsidR="007A13CC" w:rsidRPr="005A2D9C">
        <w:rPr>
          <w:rFonts w:ascii="Times New Roman" w:hAnsi="Times New Roman" w:cs="Times New Roman"/>
          <w:sz w:val="24"/>
          <w:szCs w:val="24"/>
        </w:rPr>
        <w:t>, kuid karbiidse süsiniku dilatomeetriliste</w:t>
      </w:r>
      <w:r w:rsidR="0018583C" w:rsidRPr="005A2D9C">
        <w:rPr>
          <w:rFonts w:ascii="Times New Roman" w:hAnsi="Times New Roman" w:cs="Times New Roman"/>
          <w:sz w:val="24"/>
          <w:szCs w:val="24"/>
        </w:rPr>
        <w:t xml:space="preserve"> oma</w:t>
      </w:r>
      <w:r w:rsidR="007A13CC" w:rsidRPr="005A2D9C">
        <w:rPr>
          <w:rFonts w:ascii="Times New Roman" w:hAnsi="Times New Roman" w:cs="Times New Roman"/>
          <w:sz w:val="24"/>
          <w:szCs w:val="24"/>
        </w:rPr>
        <w:t>duste kohta puudus varasem info.</w:t>
      </w:r>
    </w:p>
    <w:p w:rsidR="0018583C" w:rsidRPr="00487761" w:rsidRDefault="00141303" w:rsidP="00F85E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761">
        <w:rPr>
          <w:rFonts w:ascii="Times New Roman" w:hAnsi="Times New Roman" w:cs="Times New Roman"/>
          <w:b/>
          <w:sz w:val="24"/>
          <w:szCs w:val="24"/>
        </w:rPr>
        <w:t>MATERJALID JA METOODIKA</w:t>
      </w:r>
    </w:p>
    <w:p w:rsidR="00F40725" w:rsidRDefault="002838BC" w:rsidP="00EF4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8BC">
        <w:rPr>
          <w:rFonts w:ascii="Times New Roman" w:hAnsi="Times New Roman" w:cs="Times New Roman"/>
          <w:sz w:val="24"/>
          <w:szCs w:val="24"/>
        </w:rPr>
        <w:t>Süsinikmaterjalidena kasutati titaankarbiidist 600°C ja 800°C juures sünteesitud pulbreid</w:t>
      </w:r>
      <w:r w:rsidR="00487761">
        <w:rPr>
          <w:rFonts w:ascii="Times New Roman" w:hAnsi="Times New Roman" w:cs="Times New Roman"/>
          <w:sz w:val="24"/>
          <w:szCs w:val="24"/>
        </w:rPr>
        <w:t xml:space="preserve"> (</w:t>
      </w:r>
      <w:r w:rsidR="00487761" w:rsidRPr="00487761">
        <w:rPr>
          <w:rFonts w:ascii="Times New Roman" w:hAnsi="Times New Roman" w:cs="Times New Roman"/>
          <w:i/>
          <w:sz w:val="24"/>
          <w:szCs w:val="24"/>
        </w:rPr>
        <w:t>Tartu Tehnoloogiad</w:t>
      </w:r>
      <w:r w:rsidR="00487761">
        <w:rPr>
          <w:rFonts w:ascii="Times New Roman" w:hAnsi="Times New Roman" w:cs="Times New Roman"/>
          <w:sz w:val="24"/>
          <w:szCs w:val="24"/>
        </w:rPr>
        <w:t>), kusjuures esimene omas märgatavalt suuremat</w:t>
      </w:r>
      <w:r w:rsidRPr="002838BC">
        <w:rPr>
          <w:rFonts w:ascii="Times New Roman" w:hAnsi="Times New Roman" w:cs="Times New Roman"/>
          <w:sz w:val="24"/>
          <w:szCs w:val="24"/>
        </w:rPr>
        <w:t xml:space="preserve"> mikropoorsust</w:t>
      </w:r>
      <w:r w:rsidR="00487761">
        <w:rPr>
          <w:rFonts w:ascii="Times New Roman" w:hAnsi="Times New Roman" w:cs="Times New Roman"/>
          <w:sz w:val="24"/>
          <w:szCs w:val="24"/>
        </w:rPr>
        <w:t xml:space="preserve"> </w:t>
      </w:r>
      <w:r w:rsidRPr="002838BC">
        <w:rPr>
          <w:rFonts w:ascii="Times New Roman" w:hAnsi="Times New Roman" w:cs="Times New Roman"/>
          <w:sz w:val="24"/>
          <w:szCs w:val="24"/>
        </w:rPr>
        <w:t xml:space="preserve"> ja mõnevõrra</w:t>
      </w:r>
      <w:r>
        <w:rPr>
          <w:rFonts w:ascii="Times New Roman" w:hAnsi="Times New Roman" w:cs="Times New Roman"/>
          <w:sz w:val="24"/>
          <w:szCs w:val="24"/>
        </w:rPr>
        <w:t xml:space="preserve"> väiksemat nanopooride mõõtmeid</w:t>
      </w:r>
      <w:r w:rsidRPr="002838BC">
        <w:rPr>
          <w:rFonts w:ascii="Times New Roman" w:hAnsi="Times New Roman" w:cs="Times New Roman"/>
          <w:sz w:val="24"/>
          <w:szCs w:val="24"/>
        </w:rPr>
        <w:t xml:space="preserve"> kui teine</w:t>
      </w:r>
      <w:r w:rsidR="00487761">
        <w:rPr>
          <w:rFonts w:ascii="Times New Roman" w:hAnsi="Times New Roman" w:cs="Times New Roman"/>
          <w:sz w:val="24"/>
          <w:szCs w:val="24"/>
        </w:rPr>
        <w:t xml:space="preserve"> (Tabel 1)</w:t>
      </w:r>
      <w:r w:rsidRPr="002838BC">
        <w:rPr>
          <w:rFonts w:ascii="Times New Roman" w:hAnsi="Times New Roman" w:cs="Times New Roman"/>
          <w:sz w:val="24"/>
          <w:szCs w:val="24"/>
        </w:rPr>
        <w:t>. Sa</w:t>
      </w:r>
      <w:r>
        <w:rPr>
          <w:rFonts w:ascii="Times New Roman" w:hAnsi="Times New Roman" w:cs="Times New Roman"/>
          <w:sz w:val="24"/>
          <w:szCs w:val="24"/>
        </w:rPr>
        <w:t>adud pulbrite baasil valmistati</w:t>
      </w:r>
      <w:r w:rsidRPr="002838BC">
        <w:rPr>
          <w:rFonts w:ascii="Times New Roman" w:hAnsi="Times New Roman" w:cs="Times New Roman"/>
          <w:sz w:val="24"/>
          <w:szCs w:val="24"/>
        </w:rPr>
        <w:t xml:space="preserve"> polümeer/metall komposiidid ning mõõdeti materjalide poolt tekitatavat liigutuse ulatust, liigutuse kiirust, täpsust (reprodutseeritavust) ja selle sõltuvust rakendatud pingest ja voolust spetsiaalselt disainitu</w:t>
      </w:r>
      <w:r w:rsidR="00D26FD9">
        <w:rPr>
          <w:rFonts w:ascii="Times New Roman" w:hAnsi="Times New Roman" w:cs="Times New Roman"/>
          <w:sz w:val="24"/>
          <w:szCs w:val="24"/>
        </w:rPr>
        <w:t>d mõõterakus. Sealjuures määrati</w:t>
      </w:r>
      <w:r w:rsidRPr="002838BC">
        <w:rPr>
          <w:rFonts w:ascii="Times New Roman" w:hAnsi="Times New Roman" w:cs="Times New Roman"/>
          <w:sz w:val="24"/>
          <w:szCs w:val="24"/>
        </w:rPr>
        <w:t xml:space="preserve"> klassikali</w:t>
      </w:r>
      <w:r w:rsidR="00D26FD9">
        <w:rPr>
          <w:rFonts w:ascii="Times New Roman" w:hAnsi="Times New Roman" w:cs="Times New Roman"/>
          <w:sz w:val="24"/>
          <w:szCs w:val="24"/>
        </w:rPr>
        <w:t>si superkondensaatori parameetr</w:t>
      </w:r>
      <w:r w:rsidRPr="002838BC">
        <w:rPr>
          <w:rFonts w:ascii="Times New Roman" w:hAnsi="Times New Roman" w:cs="Times New Roman"/>
          <w:sz w:val="24"/>
          <w:szCs w:val="24"/>
        </w:rPr>
        <w:t>id</w:t>
      </w:r>
      <w:r w:rsidR="00D26FD9">
        <w:rPr>
          <w:rFonts w:ascii="Times New Roman" w:hAnsi="Times New Roman" w:cs="Times New Roman"/>
          <w:sz w:val="24"/>
          <w:szCs w:val="24"/>
        </w:rPr>
        <w:t>: mahtuvus, süsteemi sisetakistus ja kasutegur elektrienergia salvestina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38BC">
        <w:rPr>
          <w:rFonts w:ascii="Times New Roman" w:hAnsi="Times New Roman" w:cs="Times New Roman"/>
          <w:sz w:val="24"/>
          <w:szCs w:val="24"/>
        </w:rPr>
        <w:t xml:space="preserve">kasutades tsüklilist voltamperomeetriat, elektrokeemilist impedantsspektroskoopiat ja galvanostaatilisi mõõtmisi kombineerituna materjali paisumisest tingitud mõõtmistega. Hinnati süsinik/polümeer kiledest valmistatud mitmekihilistes süsteemides lineaarse liigutuse ning laengute hulga </w:t>
      </w:r>
      <w:r w:rsidR="00D26FD9">
        <w:rPr>
          <w:rFonts w:ascii="Times New Roman" w:hAnsi="Times New Roman" w:cs="Times New Roman"/>
          <w:sz w:val="24"/>
          <w:szCs w:val="24"/>
        </w:rPr>
        <w:t>vahelisi seoseid. Samuti määrati elektroaktiivse täituri lineaarset liigutust iseloomustav kasutegur elektrienergia muundamisel mehaaniliseks tööks.</w:t>
      </w:r>
    </w:p>
    <w:p w:rsidR="00487761" w:rsidRPr="00487761" w:rsidRDefault="00487761" w:rsidP="0048776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761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0098A">
        <w:rPr>
          <w:rFonts w:ascii="Times New Roman" w:hAnsi="Times New Roman" w:cs="Times New Roman"/>
          <w:b/>
          <w:sz w:val="24"/>
          <w:szCs w:val="24"/>
        </w:rPr>
        <w:t>.</w:t>
      </w:r>
      <w:r w:rsidRPr="00487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761">
        <w:rPr>
          <w:rFonts w:ascii="Times New Roman" w:hAnsi="Times New Roman" w:cs="Times New Roman"/>
          <w:sz w:val="24"/>
          <w:szCs w:val="24"/>
        </w:rPr>
        <w:t>Kasutatud süsinikmaterjalide poorsuse karakteristikud</w:t>
      </w:r>
      <w:r w:rsidRPr="00487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1E0"/>
      </w:tblPr>
      <w:tblGrid>
        <w:gridCol w:w="2296"/>
        <w:gridCol w:w="954"/>
        <w:gridCol w:w="995"/>
        <w:gridCol w:w="995"/>
        <w:gridCol w:w="1078"/>
        <w:gridCol w:w="939"/>
        <w:gridCol w:w="1302"/>
      </w:tblGrid>
      <w:tr w:rsidR="0060098A" w:rsidRPr="00487761" w:rsidTr="00D7038E">
        <w:trPr>
          <w:trHeight w:val="333"/>
          <w:jc w:val="center"/>
        </w:trPr>
        <w:tc>
          <w:tcPr>
            <w:tcW w:w="2296" w:type="dxa"/>
            <w:vMerge w:val="restart"/>
            <w:tcBorders>
              <w:left w:val="nil"/>
              <w:right w:val="nil"/>
            </w:tcBorders>
            <w:vAlign w:val="center"/>
          </w:tcPr>
          <w:p w:rsidR="00487761" w:rsidRPr="00D7038E" w:rsidRDefault="00487761" w:rsidP="00487761">
            <w:pPr>
              <w:spacing w:after="200"/>
              <w:jc w:val="both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Süsinikmaterjal</w:t>
            </w:r>
          </w:p>
        </w:tc>
        <w:tc>
          <w:tcPr>
            <w:tcW w:w="954" w:type="dxa"/>
            <w:vMerge w:val="restart"/>
            <w:tcBorders>
              <w:left w:val="nil"/>
              <w:right w:val="nil"/>
            </w:tcBorders>
            <w:vAlign w:val="center"/>
          </w:tcPr>
          <w:p w:rsidR="00487761" w:rsidRPr="00D7038E" w:rsidRDefault="00487761" w:rsidP="00487761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S</w:t>
            </w:r>
            <w:r w:rsidRPr="00D7038E">
              <w:rPr>
                <w:sz w:val="24"/>
                <w:szCs w:val="24"/>
                <w:vertAlign w:val="subscript"/>
              </w:rPr>
              <w:t>BET</w:t>
            </w:r>
            <w:r w:rsidRPr="00D7038E">
              <w:rPr>
                <w:sz w:val="24"/>
                <w:szCs w:val="24"/>
              </w:rPr>
              <w:t xml:space="preserve"> [m</w:t>
            </w:r>
            <w:r w:rsidRPr="00D7038E">
              <w:rPr>
                <w:sz w:val="24"/>
                <w:szCs w:val="24"/>
                <w:vertAlign w:val="superscript"/>
              </w:rPr>
              <w:t>2</w:t>
            </w:r>
            <w:r w:rsidRPr="00D7038E">
              <w:rPr>
                <w:sz w:val="24"/>
                <w:szCs w:val="24"/>
              </w:rPr>
              <w:t>/g]</w:t>
            </w:r>
          </w:p>
        </w:tc>
        <w:tc>
          <w:tcPr>
            <w:tcW w:w="995" w:type="dxa"/>
            <w:vMerge w:val="restart"/>
            <w:tcBorders>
              <w:left w:val="nil"/>
              <w:right w:val="nil"/>
            </w:tcBorders>
            <w:vAlign w:val="center"/>
          </w:tcPr>
          <w:p w:rsidR="00487761" w:rsidRPr="00D7038E" w:rsidRDefault="00487761" w:rsidP="00487761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V</w:t>
            </w:r>
            <w:r w:rsidRPr="00D7038E">
              <w:rPr>
                <w:sz w:val="24"/>
                <w:szCs w:val="24"/>
                <w:vertAlign w:val="subscript"/>
              </w:rPr>
              <w:t>m</w:t>
            </w:r>
            <w:r w:rsidRPr="00D7038E">
              <w:rPr>
                <w:sz w:val="24"/>
                <w:szCs w:val="24"/>
              </w:rPr>
              <w:t xml:space="preserve"> [cm</w:t>
            </w:r>
            <w:r w:rsidRPr="00D7038E">
              <w:rPr>
                <w:sz w:val="24"/>
                <w:szCs w:val="24"/>
                <w:vertAlign w:val="superscript"/>
              </w:rPr>
              <w:t>3</w:t>
            </w:r>
            <w:r w:rsidRPr="00D7038E">
              <w:rPr>
                <w:sz w:val="24"/>
                <w:szCs w:val="24"/>
              </w:rPr>
              <w:t>/g]</w:t>
            </w:r>
          </w:p>
        </w:tc>
        <w:tc>
          <w:tcPr>
            <w:tcW w:w="995" w:type="dxa"/>
            <w:vMerge w:val="restart"/>
            <w:tcBorders>
              <w:left w:val="nil"/>
              <w:right w:val="nil"/>
            </w:tcBorders>
            <w:vAlign w:val="center"/>
          </w:tcPr>
          <w:p w:rsidR="00487761" w:rsidRPr="00D7038E" w:rsidRDefault="00487761" w:rsidP="00487761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V</w:t>
            </w:r>
            <w:r w:rsidRPr="00D7038E">
              <w:rPr>
                <w:sz w:val="24"/>
                <w:szCs w:val="24"/>
                <w:vertAlign w:val="subscript"/>
              </w:rPr>
              <w:t>tot</w:t>
            </w:r>
            <w:r w:rsidRPr="00D7038E">
              <w:rPr>
                <w:sz w:val="24"/>
                <w:szCs w:val="24"/>
              </w:rPr>
              <w:t xml:space="preserve"> [cm</w:t>
            </w:r>
            <w:r w:rsidRPr="00D7038E">
              <w:rPr>
                <w:sz w:val="24"/>
                <w:szCs w:val="24"/>
                <w:vertAlign w:val="superscript"/>
              </w:rPr>
              <w:t>3</w:t>
            </w:r>
            <w:r w:rsidRPr="00D7038E">
              <w:rPr>
                <w:sz w:val="24"/>
                <w:szCs w:val="24"/>
              </w:rPr>
              <w:t>/g]</w:t>
            </w:r>
          </w:p>
        </w:tc>
        <w:tc>
          <w:tcPr>
            <w:tcW w:w="2017" w:type="dxa"/>
            <w:gridSpan w:val="2"/>
            <w:tcBorders>
              <w:left w:val="nil"/>
              <w:right w:val="nil"/>
            </w:tcBorders>
            <w:vAlign w:val="center"/>
          </w:tcPr>
          <w:p w:rsidR="00487761" w:rsidRPr="00D7038E" w:rsidRDefault="00487761" w:rsidP="00487761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Mikropoorsus [%]</w:t>
            </w:r>
          </w:p>
        </w:tc>
        <w:tc>
          <w:tcPr>
            <w:tcW w:w="1302" w:type="dxa"/>
            <w:vMerge w:val="restart"/>
            <w:tcBorders>
              <w:left w:val="nil"/>
              <w:right w:val="nil"/>
            </w:tcBorders>
            <w:vAlign w:val="center"/>
          </w:tcPr>
          <w:p w:rsidR="00487761" w:rsidRPr="00D7038E" w:rsidRDefault="0060098A" w:rsidP="00487761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Poori maksimum[Å]</w:t>
            </w:r>
          </w:p>
        </w:tc>
      </w:tr>
      <w:tr w:rsidR="0060098A" w:rsidRPr="00487761" w:rsidTr="00D7038E">
        <w:trPr>
          <w:trHeight w:val="332"/>
          <w:jc w:val="center"/>
        </w:trPr>
        <w:tc>
          <w:tcPr>
            <w:tcW w:w="2296" w:type="dxa"/>
            <w:vMerge/>
            <w:tcBorders>
              <w:left w:val="nil"/>
              <w:right w:val="nil"/>
            </w:tcBorders>
            <w:vAlign w:val="center"/>
          </w:tcPr>
          <w:p w:rsidR="00487761" w:rsidRPr="00487761" w:rsidRDefault="00487761" w:rsidP="00487761">
            <w:pPr>
              <w:spacing w:after="200"/>
              <w:jc w:val="both"/>
              <w:rPr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left w:val="nil"/>
              <w:right w:val="nil"/>
            </w:tcBorders>
            <w:vAlign w:val="center"/>
          </w:tcPr>
          <w:p w:rsidR="00487761" w:rsidRPr="00487761" w:rsidRDefault="00487761" w:rsidP="00487761">
            <w:pPr>
              <w:spacing w:after="20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nil"/>
              <w:right w:val="nil"/>
            </w:tcBorders>
            <w:vAlign w:val="center"/>
          </w:tcPr>
          <w:p w:rsidR="00487761" w:rsidRPr="00487761" w:rsidRDefault="00487761" w:rsidP="00487761">
            <w:pPr>
              <w:spacing w:after="20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nil"/>
              <w:right w:val="nil"/>
            </w:tcBorders>
            <w:vAlign w:val="center"/>
          </w:tcPr>
          <w:p w:rsidR="00487761" w:rsidRPr="00487761" w:rsidRDefault="00487761" w:rsidP="00487761">
            <w:pPr>
              <w:spacing w:after="200"/>
              <w:jc w:val="bot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  <w:vAlign w:val="center"/>
          </w:tcPr>
          <w:p w:rsidR="00487761" w:rsidRPr="00D7038E" w:rsidRDefault="00487761" w:rsidP="00487761">
            <w:pPr>
              <w:spacing w:after="200"/>
              <w:jc w:val="both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&lt; 20 Å</w:t>
            </w:r>
          </w:p>
        </w:tc>
        <w:tc>
          <w:tcPr>
            <w:tcW w:w="939" w:type="dxa"/>
            <w:tcBorders>
              <w:left w:val="nil"/>
              <w:right w:val="nil"/>
            </w:tcBorders>
            <w:vAlign w:val="center"/>
          </w:tcPr>
          <w:p w:rsidR="00487761" w:rsidRPr="00D7038E" w:rsidRDefault="00487761" w:rsidP="00487761">
            <w:pPr>
              <w:spacing w:after="200"/>
              <w:jc w:val="both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&lt; 11 Å</w:t>
            </w:r>
          </w:p>
        </w:tc>
        <w:tc>
          <w:tcPr>
            <w:tcW w:w="1302" w:type="dxa"/>
            <w:vMerge/>
            <w:tcBorders>
              <w:left w:val="nil"/>
              <w:right w:val="nil"/>
            </w:tcBorders>
            <w:vAlign w:val="center"/>
          </w:tcPr>
          <w:p w:rsidR="00487761" w:rsidRPr="00D7038E" w:rsidRDefault="00487761" w:rsidP="00487761">
            <w:pPr>
              <w:spacing w:after="200"/>
              <w:jc w:val="both"/>
              <w:rPr>
                <w:sz w:val="24"/>
                <w:szCs w:val="24"/>
              </w:rPr>
            </w:pPr>
          </w:p>
        </w:tc>
      </w:tr>
      <w:tr w:rsidR="0060098A" w:rsidRPr="00487761" w:rsidTr="00D7038E">
        <w:trPr>
          <w:trHeight w:val="566"/>
          <w:jc w:val="center"/>
        </w:trPr>
        <w:tc>
          <w:tcPr>
            <w:tcW w:w="2296" w:type="dxa"/>
            <w:tcBorders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487761">
            <w:pPr>
              <w:spacing w:after="200"/>
              <w:jc w:val="both"/>
              <w:rPr>
                <w:i/>
                <w:sz w:val="24"/>
                <w:szCs w:val="24"/>
              </w:rPr>
            </w:pPr>
            <w:r w:rsidRPr="00487761">
              <w:rPr>
                <w:i/>
                <w:sz w:val="24"/>
                <w:szCs w:val="24"/>
              </w:rPr>
              <w:t>CDC TiC-Cl 600 °C</w:t>
            </w: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 w:rsidRPr="00487761">
              <w:rPr>
                <w:sz w:val="24"/>
                <w:szCs w:val="24"/>
              </w:rPr>
              <w:t>1150</w:t>
            </w: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Pr="00487761">
              <w:rPr>
                <w:sz w:val="24"/>
                <w:szCs w:val="24"/>
              </w:rPr>
              <w:t>487</w:t>
            </w: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Pr="00487761">
              <w:rPr>
                <w:sz w:val="24"/>
                <w:szCs w:val="24"/>
              </w:rPr>
              <w:t>534</w:t>
            </w: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 w:rsidRPr="00487761">
              <w:rPr>
                <w:sz w:val="24"/>
                <w:szCs w:val="24"/>
              </w:rPr>
              <w:t>91</w:t>
            </w: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 w:rsidRPr="00487761">
              <w:rPr>
                <w:sz w:val="24"/>
                <w:szCs w:val="24"/>
              </w:rPr>
              <w:t>70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487761">
              <w:rPr>
                <w:sz w:val="24"/>
                <w:szCs w:val="24"/>
              </w:rPr>
              <w:t>3</w:t>
            </w:r>
          </w:p>
        </w:tc>
      </w:tr>
      <w:tr w:rsidR="0060098A" w:rsidRPr="00487761" w:rsidTr="007249AC">
        <w:trPr>
          <w:trHeight w:val="579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487761">
            <w:pPr>
              <w:spacing w:after="200"/>
              <w:jc w:val="both"/>
              <w:rPr>
                <w:i/>
                <w:sz w:val="24"/>
                <w:szCs w:val="24"/>
              </w:rPr>
            </w:pPr>
            <w:r w:rsidRPr="00487761">
              <w:rPr>
                <w:i/>
                <w:sz w:val="24"/>
                <w:szCs w:val="24"/>
              </w:rPr>
              <w:t>CDC TiC-Cl 800 °C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 w:rsidRPr="00487761">
              <w:rPr>
                <w:sz w:val="24"/>
                <w:szCs w:val="24"/>
              </w:rPr>
              <w:t>1470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Pr="00487761">
              <w:rPr>
                <w:sz w:val="24"/>
                <w:szCs w:val="24"/>
              </w:rPr>
              <w:t>594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Pr="00487761">
              <w:rPr>
                <w:sz w:val="24"/>
                <w:szCs w:val="24"/>
              </w:rPr>
              <w:t>712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 w:rsidRPr="00487761">
              <w:rPr>
                <w:sz w:val="24"/>
                <w:szCs w:val="24"/>
              </w:rPr>
              <w:t>83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 w:rsidRPr="00487761">
              <w:rPr>
                <w:sz w:val="24"/>
                <w:szCs w:val="24"/>
              </w:rPr>
              <w:t>50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761" w:rsidRPr="00487761" w:rsidRDefault="00487761" w:rsidP="0060098A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487761">
              <w:rPr>
                <w:sz w:val="24"/>
                <w:szCs w:val="24"/>
              </w:rPr>
              <w:t>0</w:t>
            </w:r>
          </w:p>
        </w:tc>
      </w:tr>
    </w:tbl>
    <w:p w:rsidR="00D26FD9" w:rsidRDefault="00D26FD9" w:rsidP="00EF46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761">
        <w:rPr>
          <w:rFonts w:ascii="Times New Roman" w:hAnsi="Times New Roman" w:cs="Times New Roman"/>
          <w:b/>
          <w:sz w:val="24"/>
          <w:szCs w:val="24"/>
        </w:rPr>
        <w:t>Täituri valmistamine</w:t>
      </w:r>
    </w:p>
    <w:p w:rsidR="00787CD0" w:rsidRDefault="0060098A" w:rsidP="00787C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98A">
        <w:rPr>
          <w:rFonts w:ascii="Times New Roman" w:hAnsi="Times New Roman" w:cs="Times New Roman"/>
          <w:sz w:val="24"/>
          <w:szCs w:val="24"/>
        </w:rPr>
        <w:t>Kaaluti 1 g karbiidset päritolu süsinikpulbrit, lisati 5-7 ml etanooli (C</w:t>
      </w:r>
      <w:r w:rsidRPr="0060098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98A">
        <w:rPr>
          <w:rFonts w:ascii="Times New Roman" w:hAnsi="Times New Roman" w:cs="Times New Roman"/>
          <w:sz w:val="24"/>
          <w:szCs w:val="24"/>
        </w:rPr>
        <w:t>H</w:t>
      </w:r>
      <w:r w:rsidRPr="0060098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0098A">
        <w:rPr>
          <w:rFonts w:ascii="Times New Roman" w:hAnsi="Times New Roman" w:cs="Times New Roman"/>
          <w:sz w:val="24"/>
          <w:szCs w:val="24"/>
        </w:rPr>
        <w:t>OH)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0098A">
        <w:rPr>
          <w:rFonts w:ascii="Times New Roman" w:hAnsi="Times New Roman" w:cs="Times New Roman"/>
          <w:i/>
          <w:sz w:val="24"/>
          <w:szCs w:val="24"/>
        </w:rPr>
        <w:t>Fluka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0098A">
        <w:rPr>
          <w:rFonts w:ascii="Times New Roman" w:hAnsi="Times New Roman" w:cs="Times New Roman"/>
          <w:sz w:val="24"/>
          <w:szCs w:val="24"/>
        </w:rPr>
        <w:t xml:space="preserve"> ja segati kuni ühtlase massi moodustumiseni, saadud segu jahutati 4-5 min.</w:t>
      </w:r>
      <w:r w:rsidR="00AB1374">
        <w:rPr>
          <w:rFonts w:ascii="Times New Roman" w:hAnsi="Times New Roman" w:cs="Times New Roman"/>
          <w:sz w:val="24"/>
          <w:szCs w:val="24"/>
        </w:rPr>
        <w:t xml:space="preserve"> temperatuuril +6</w:t>
      </w:r>
      <w:r w:rsidRPr="0060098A">
        <w:rPr>
          <w:rFonts w:ascii="Times New Roman" w:hAnsi="Times New Roman" w:cs="Times New Roman"/>
          <w:sz w:val="24"/>
          <w:szCs w:val="24"/>
        </w:rPr>
        <w:t>°C. Pärast jahutamist lisati 0,185 ml 60 %-st PTFE ((-CF</w:t>
      </w:r>
      <w:r w:rsidRPr="0060098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98A">
        <w:rPr>
          <w:rFonts w:ascii="Times New Roman" w:hAnsi="Times New Roman" w:cs="Times New Roman"/>
          <w:sz w:val="24"/>
          <w:szCs w:val="24"/>
        </w:rPr>
        <w:t>-CF</w:t>
      </w:r>
      <w:r w:rsidRPr="0060098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98A">
        <w:rPr>
          <w:rFonts w:ascii="Times New Roman" w:hAnsi="Times New Roman" w:cs="Times New Roman"/>
          <w:sz w:val="24"/>
          <w:szCs w:val="24"/>
        </w:rPr>
        <w:t>-)</w:t>
      </w:r>
      <w:r w:rsidRPr="0060098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60098A">
        <w:rPr>
          <w:rFonts w:ascii="Times New Roman" w:hAnsi="Times New Roman" w:cs="Times New Roman"/>
          <w:sz w:val="24"/>
          <w:szCs w:val="24"/>
        </w:rPr>
        <w:t xml:space="preserve"> polütetrafluoroetüleen)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0098A">
        <w:rPr>
          <w:rFonts w:ascii="Times New Roman" w:hAnsi="Times New Roman" w:cs="Times New Roman"/>
          <w:i/>
          <w:sz w:val="24"/>
          <w:szCs w:val="24"/>
        </w:rPr>
        <w:t>Sigma-Aldrich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0098A">
        <w:rPr>
          <w:rFonts w:ascii="Times New Roman" w:hAnsi="Times New Roman" w:cs="Times New Roman"/>
          <w:sz w:val="24"/>
          <w:szCs w:val="24"/>
        </w:rPr>
        <w:t xml:space="preserve"> </w:t>
      </w:r>
      <w:r w:rsidRPr="005A2D9C">
        <w:rPr>
          <w:rFonts w:ascii="Times New Roman" w:hAnsi="Times New Roman" w:cs="Times New Roman"/>
          <w:sz w:val="24"/>
          <w:szCs w:val="24"/>
        </w:rPr>
        <w:t xml:space="preserve">emulsiooni </w:t>
      </w:r>
      <w:r w:rsidR="005A2D9C" w:rsidRPr="005A2D9C">
        <w:rPr>
          <w:rFonts w:ascii="Times New Roman" w:hAnsi="Times New Roman" w:cs="Times New Roman"/>
          <w:sz w:val="24"/>
          <w:szCs w:val="24"/>
        </w:rPr>
        <w:t>vees ja segati kuni kogu mass oli</w:t>
      </w:r>
      <w:r w:rsidRPr="005A2D9C">
        <w:rPr>
          <w:rFonts w:ascii="Times New Roman" w:hAnsi="Times New Roman" w:cs="Times New Roman"/>
          <w:sz w:val="24"/>
          <w:szCs w:val="24"/>
        </w:rPr>
        <w:t xml:space="preserve"> anuma seinte küljest e</w:t>
      </w:r>
      <w:r w:rsidR="00AB1374" w:rsidRPr="005A2D9C">
        <w:rPr>
          <w:rFonts w:ascii="Times New Roman" w:hAnsi="Times New Roman" w:cs="Times New Roman"/>
          <w:sz w:val="24"/>
          <w:szCs w:val="24"/>
        </w:rPr>
        <w:t>raldunud ja moodustanud plastse</w:t>
      </w:r>
      <w:r w:rsidRPr="005A2D9C">
        <w:rPr>
          <w:rFonts w:ascii="Times New Roman" w:hAnsi="Times New Roman" w:cs="Times New Roman"/>
          <w:sz w:val="24"/>
          <w:szCs w:val="24"/>
        </w:rPr>
        <w:t xml:space="preserve"> keha.</w:t>
      </w:r>
      <w:r w:rsidRPr="0060098A">
        <w:rPr>
          <w:rFonts w:ascii="Times New Roman" w:hAnsi="Times New Roman" w:cs="Times New Roman"/>
          <w:sz w:val="24"/>
          <w:szCs w:val="24"/>
        </w:rPr>
        <w:t xml:space="preserve"> Järgnevalt hoiti segu 110 °C juures 1,5</w:t>
      </w:r>
      <w:r w:rsidR="00AB1374">
        <w:rPr>
          <w:rFonts w:ascii="Times New Roman" w:hAnsi="Times New Roman" w:cs="Times New Roman"/>
          <w:sz w:val="24"/>
          <w:szCs w:val="24"/>
        </w:rPr>
        <w:t xml:space="preserve"> </w:t>
      </w:r>
      <w:r w:rsidRPr="0060098A">
        <w:rPr>
          <w:rFonts w:ascii="Times New Roman" w:hAnsi="Times New Roman" w:cs="Times New Roman"/>
          <w:sz w:val="24"/>
          <w:szCs w:val="24"/>
        </w:rPr>
        <w:t xml:space="preserve">- 2 tundi, </w:t>
      </w:r>
      <w:r w:rsidRPr="0060098A">
        <w:rPr>
          <w:rFonts w:ascii="Times New Roman" w:hAnsi="Times New Roman" w:cs="Times New Roman"/>
          <w:sz w:val="24"/>
          <w:szCs w:val="24"/>
        </w:rPr>
        <w:lastRenderedPageBreak/>
        <w:t xml:space="preserve">tagamaks etanooli </w:t>
      </w:r>
      <w:r w:rsidR="00AB1374">
        <w:rPr>
          <w:rFonts w:ascii="Times New Roman" w:hAnsi="Times New Roman" w:cs="Times New Roman"/>
          <w:sz w:val="24"/>
          <w:szCs w:val="24"/>
        </w:rPr>
        <w:t>eraldumist</w:t>
      </w:r>
      <w:r w:rsidRPr="0060098A">
        <w:rPr>
          <w:rFonts w:ascii="Times New Roman" w:hAnsi="Times New Roman" w:cs="Times New Roman"/>
          <w:sz w:val="24"/>
          <w:szCs w:val="24"/>
        </w:rPr>
        <w:t xml:space="preserve"> ja polümeer-niidistiku teket. Kuivanud polümeermaterjal jahututi ja lisati ~25 ml petrooleetrit. Uhmris suruti polümeeri korduvalt õhukeseks kileks ja seejärel volditi kokku. Sobiva paksusega kile saamiseks kasutati spetsiaalset rullpressi, kus järkjärgult vähendati rullide vahekaugust </w:t>
      </w:r>
      <w:r w:rsidR="00AB1374">
        <w:rPr>
          <w:rFonts w:ascii="Times New Roman" w:hAnsi="Times New Roman" w:cs="Times New Roman"/>
          <w:sz w:val="24"/>
          <w:szCs w:val="24"/>
        </w:rPr>
        <w:t xml:space="preserve">rullitava kile jaoks </w:t>
      </w:r>
      <w:r w:rsidRPr="0060098A">
        <w:rPr>
          <w:rFonts w:ascii="Times New Roman" w:hAnsi="Times New Roman" w:cs="Times New Roman"/>
          <w:sz w:val="24"/>
          <w:szCs w:val="24"/>
        </w:rPr>
        <w:t xml:space="preserve">sobiva paksuse saavutamiseni. </w:t>
      </w:r>
      <w:r w:rsidR="00AB1374">
        <w:rPr>
          <w:rFonts w:ascii="Times New Roman" w:hAnsi="Times New Roman" w:cs="Times New Roman"/>
          <w:sz w:val="24"/>
          <w:szCs w:val="24"/>
        </w:rPr>
        <w:t>Uuringuteks</w:t>
      </w:r>
      <w:r w:rsidRPr="0060098A">
        <w:rPr>
          <w:rFonts w:ascii="Times New Roman" w:hAnsi="Times New Roman" w:cs="Times New Roman"/>
          <w:sz w:val="24"/>
          <w:szCs w:val="24"/>
        </w:rPr>
        <w:t xml:space="preserve"> valmistati 100 </w:t>
      </w:r>
      <w:r w:rsidR="00AB1374">
        <w:rPr>
          <w:rFonts w:ascii="Times New Roman" w:hAnsi="Times New Roman" w:cs="Times New Roman"/>
          <w:sz w:val="24"/>
          <w:szCs w:val="24"/>
        </w:rPr>
        <w:t>μ</w:t>
      </w:r>
      <w:r w:rsidRPr="0060098A">
        <w:rPr>
          <w:rFonts w:ascii="Times New Roman" w:hAnsi="Times New Roman" w:cs="Times New Roman"/>
          <w:sz w:val="24"/>
          <w:szCs w:val="24"/>
        </w:rPr>
        <w:t xml:space="preserve">m ja 250 </w:t>
      </w:r>
      <w:r w:rsidR="00AB1374">
        <w:rPr>
          <w:rFonts w:ascii="Times New Roman" w:hAnsi="Times New Roman" w:cs="Times New Roman"/>
          <w:sz w:val="24"/>
          <w:szCs w:val="24"/>
        </w:rPr>
        <w:t>μ</w:t>
      </w:r>
      <w:r w:rsidRPr="0060098A">
        <w:rPr>
          <w:rFonts w:ascii="Times New Roman" w:hAnsi="Times New Roman" w:cs="Times New Roman"/>
          <w:sz w:val="24"/>
          <w:szCs w:val="24"/>
        </w:rPr>
        <w:t>m paksusega süsinik/polümeer-elektroodid, mis kaeti pl</w:t>
      </w:r>
      <w:r w:rsidR="00787CD0">
        <w:rPr>
          <w:rFonts w:ascii="Times New Roman" w:hAnsi="Times New Roman" w:cs="Times New Roman"/>
          <w:sz w:val="24"/>
          <w:szCs w:val="24"/>
        </w:rPr>
        <w:t>asma vaakumaurustamise meetodil</w:t>
      </w:r>
      <w:r w:rsidRPr="0060098A">
        <w:rPr>
          <w:rFonts w:ascii="Times New Roman" w:hAnsi="Times New Roman" w:cs="Times New Roman"/>
          <w:sz w:val="24"/>
          <w:szCs w:val="24"/>
        </w:rPr>
        <w:t xml:space="preserve"> ~2 </w:t>
      </w:r>
      <w:r w:rsidR="00AB1374">
        <w:rPr>
          <w:rFonts w:ascii="Times New Roman" w:hAnsi="Times New Roman" w:cs="Times New Roman"/>
          <w:sz w:val="24"/>
          <w:szCs w:val="24"/>
        </w:rPr>
        <w:t>μ</w:t>
      </w:r>
      <w:r w:rsidRPr="0060098A">
        <w:rPr>
          <w:rFonts w:ascii="Times New Roman" w:hAnsi="Times New Roman" w:cs="Times New Roman"/>
          <w:sz w:val="24"/>
          <w:szCs w:val="24"/>
        </w:rPr>
        <w:t>m paksuse alumiinumi kihiga. Metallikihiga katmine on vajalik juhtivuse parandamiseks süsinik-metall üleminekul voolukollektori ja elektroodi pinna vahel. Mõõteraku koostamiseks lõigati elektr</w:t>
      </w:r>
      <w:r w:rsidR="00787CD0">
        <w:rPr>
          <w:rFonts w:ascii="Times New Roman" w:hAnsi="Times New Roman" w:cs="Times New Roman"/>
          <w:sz w:val="24"/>
          <w:szCs w:val="24"/>
        </w:rPr>
        <w:t>oodkilest ringikujulised kettad</w:t>
      </w:r>
      <w:r w:rsidRPr="0060098A">
        <w:rPr>
          <w:rFonts w:ascii="Times New Roman" w:hAnsi="Times New Roman" w:cs="Times New Roman"/>
          <w:sz w:val="24"/>
          <w:szCs w:val="24"/>
        </w:rPr>
        <w:t xml:space="preserve"> 1,7 cm diameetriga (S= 2,27 cm</w:t>
      </w:r>
      <w:r w:rsidRPr="0060098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87CD0">
        <w:rPr>
          <w:rFonts w:ascii="Times New Roman" w:hAnsi="Times New Roman" w:cs="Times New Roman"/>
          <w:sz w:val="24"/>
          <w:szCs w:val="24"/>
        </w:rPr>
        <w:t>)</w:t>
      </w:r>
      <w:r w:rsidR="00F26139">
        <w:rPr>
          <w:rFonts w:ascii="Times New Roman" w:hAnsi="Times New Roman" w:cs="Times New Roman"/>
          <w:sz w:val="24"/>
          <w:szCs w:val="24"/>
        </w:rPr>
        <w:t>.</w:t>
      </w:r>
      <w:r w:rsidR="00787CD0" w:rsidRPr="00787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374" w:rsidRDefault="00787CD0" w:rsidP="00787C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Katseraku korpus</w:t>
      </w:r>
      <w:r w:rsidRPr="00787CD0">
        <w:rPr>
          <w:rFonts w:ascii="Times New Roman" w:hAnsi="Times New Roman" w:cs="Times New Roman"/>
          <w:sz w:val="24"/>
          <w:szCs w:val="24"/>
        </w:rPr>
        <w:t xml:space="preserve"> valmista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787CD0">
        <w:rPr>
          <w:rFonts w:ascii="Times New Roman" w:hAnsi="Times New Roman" w:cs="Times New Roman"/>
          <w:sz w:val="24"/>
          <w:szCs w:val="24"/>
        </w:rPr>
        <w:t xml:space="preserve"> teflonist</w:t>
      </w:r>
      <w:r w:rsidR="00271EDE">
        <w:rPr>
          <w:rFonts w:ascii="Times New Roman" w:hAnsi="Times New Roman" w:cs="Times New Roman"/>
          <w:sz w:val="24"/>
          <w:szCs w:val="24"/>
        </w:rPr>
        <w:t>,</w:t>
      </w:r>
      <w:r w:rsidRPr="00787CD0" w:rsidDel="000A2217">
        <w:rPr>
          <w:rFonts w:ascii="Times New Roman" w:hAnsi="Times New Roman" w:cs="Times New Roman"/>
          <w:sz w:val="24"/>
          <w:szCs w:val="24"/>
        </w:rPr>
        <w:t xml:space="preserve"> </w:t>
      </w:r>
      <w:r w:rsidRPr="00787CD0">
        <w:rPr>
          <w:rFonts w:ascii="Times New Roman" w:hAnsi="Times New Roman" w:cs="Times New Roman"/>
          <w:sz w:val="24"/>
          <w:szCs w:val="24"/>
        </w:rPr>
        <w:t>mille põhjaks ja kaaneks oli roostevabast terasest ja poleeritud pindadega surveplaadi</w:t>
      </w:r>
      <w:r>
        <w:rPr>
          <w:rFonts w:ascii="Times New Roman" w:hAnsi="Times New Roman" w:cs="Times New Roman"/>
          <w:sz w:val="24"/>
          <w:szCs w:val="24"/>
        </w:rPr>
        <w:t>d. Surveplaatide vahel paiknenud</w:t>
      </w:r>
      <w:r w:rsidRPr="00787CD0">
        <w:rPr>
          <w:rFonts w:ascii="Times New Roman" w:hAnsi="Times New Roman" w:cs="Times New Roman"/>
          <w:sz w:val="24"/>
          <w:szCs w:val="24"/>
        </w:rPr>
        <w:t xml:space="preserve"> süsinik/polümeer-materjali nihe registreeriti katseraku kestast väljapoole läbi distantspuksi, </w:t>
      </w:r>
      <w:r w:rsidRPr="005810FE">
        <w:rPr>
          <w:rFonts w:ascii="Times New Roman" w:hAnsi="Times New Roman" w:cs="Times New Roman"/>
          <w:sz w:val="24"/>
          <w:szCs w:val="24"/>
        </w:rPr>
        <w:t xml:space="preserve">mis </w:t>
      </w:r>
      <w:r w:rsidR="005810FE" w:rsidRPr="005810FE">
        <w:rPr>
          <w:rFonts w:ascii="Times New Roman" w:hAnsi="Times New Roman" w:cs="Times New Roman"/>
          <w:sz w:val="24"/>
          <w:szCs w:val="24"/>
        </w:rPr>
        <w:t xml:space="preserve">oli </w:t>
      </w:r>
      <w:r w:rsidRPr="005810FE">
        <w:rPr>
          <w:rFonts w:ascii="Times New Roman" w:hAnsi="Times New Roman" w:cs="Times New Roman"/>
          <w:sz w:val="24"/>
          <w:szCs w:val="24"/>
        </w:rPr>
        <w:t>väliskeskkonnast isoleeritud roostevaba membraaniga.</w:t>
      </w:r>
      <w:r w:rsidRPr="00787CD0">
        <w:rPr>
          <w:rFonts w:ascii="Times New Roman" w:hAnsi="Times New Roman" w:cs="Times New Roman"/>
          <w:sz w:val="24"/>
          <w:szCs w:val="24"/>
        </w:rPr>
        <w:t xml:space="preserve"> Materjalist lõigati </w:t>
      </w:r>
      <w:r w:rsidRPr="00787CD0">
        <w:rPr>
          <w:rFonts w:ascii="Times New Roman" w:hAnsi="Times New Roman" w:cs="Times New Roman"/>
          <w:sz w:val="24"/>
          <w:szCs w:val="24"/>
        </w:rPr>
        <w:sym w:font="Symbol" w:char="F0C6"/>
      </w:r>
      <w:r w:rsidRPr="00787CD0">
        <w:rPr>
          <w:rFonts w:ascii="Times New Roman" w:hAnsi="Times New Roman" w:cs="Times New Roman"/>
          <w:sz w:val="24"/>
          <w:szCs w:val="24"/>
        </w:rPr>
        <w:t xml:space="preserve"> 1,7 cm läbimõõduga kettad, vakumeeriti </w:t>
      </w:r>
      <w:r w:rsidR="00851ABC">
        <w:rPr>
          <w:rFonts w:ascii="Times New Roman" w:hAnsi="Times New Roman" w:cs="Times New Roman"/>
          <w:sz w:val="24"/>
          <w:szCs w:val="24"/>
        </w:rPr>
        <w:t>24 h</w:t>
      </w:r>
      <w:r w:rsidRPr="00787CD0">
        <w:rPr>
          <w:rFonts w:ascii="Times New Roman" w:hAnsi="Times New Roman" w:cs="Times New Roman"/>
          <w:sz w:val="24"/>
          <w:szCs w:val="24"/>
        </w:rPr>
        <w:t xml:space="preserve"> </w:t>
      </w:r>
      <w:r w:rsidR="00851ABC">
        <w:rPr>
          <w:rFonts w:ascii="Times New Roman" w:hAnsi="Times New Roman" w:cs="Times New Roman"/>
          <w:sz w:val="24"/>
          <w:szCs w:val="24"/>
        </w:rPr>
        <w:t>120</w:t>
      </w:r>
      <w:r w:rsidRPr="00787CD0">
        <w:rPr>
          <w:rFonts w:ascii="Times New Roman" w:hAnsi="Times New Roman" w:cs="Times New Roman"/>
          <w:sz w:val="24"/>
          <w:szCs w:val="24"/>
        </w:rPr>
        <w:t xml:space="preserve">°C juures vabanemaks süsinikul adsorbeerunud gaasidest ja niiskusest. </w:t>
      </w:r>
      <w:r w:rsidRPr="005810FE">
        <w:rPr>
          <w:rFonts w:ascii="Times New Roman" w:hAnsi="Times New Roman" w:cs="Times New Roman"/>
          <w:sz w:val="24"/>
          <w:szCs w:val="24"/>
        </w:rPr>
        <w:t>Pärast vakumeerimist elektroodimaterjal kaaluti koheselt,</w:t>
      </w:r>
      <w:r w:rsidR="005810FE" w:rsidRPr="005810FE">
        <w:rPr>
          <w:rFonts w:ascii="Times New Roman" w:hAnsi="Times New Roman" w:cs="Times New Roman"/>
          <w:sz w:val="24"/>
          <w:szCs w:val="24"/>
        </w:rPr>
        <w:t xml:space="preserve"> et saada</w:t>
      </w:r>
      <w:r w:rsidRPr="005810FE">
        <w:rPr>
          <w:rFonts w:ascii="Times New Roman" w:hAnsi="Times New Roman" w:cs="Times New Roman"/>
          <w:sz w:val="24"/>
          <w:szCs w:val="24"/>
        </w:rPr>
        <w:t xml:space="preserve"> lisanditevaba kaalutis.</w:t>
      </w:r>
      <w:r w:rsidRPr="00787CD0">
        <w:rPr>
          <w:rFonts w:ascii="Times New Roman" w:hAnsi="Times New Roman" w:cs="Times New Roman"/>
          <w:sz w:val="24"/>
          <w:szCs w:val="24"/>
        </w:rPr>
        <w:t xml:space="preserve"> Olenevalt eksperim</w:t>
      </w:r>
      <w:r w:rsidR="00C1089F">
        <w:rPr>
          <w:rFonts w:ascii="Times New Roman" w:hAnsi="Times New Roman" w:cs="Times New Roman"/>
          <w:sz w:val="24"/>
          <w:szCs w:val="24"/>
        </w:rPr>
        <w:t>endist koostati süsteem katood(̵̵</w:t>
      </w:r>
      <w:r w:rsidRPr="00787CD0">
        <w:rPr>
          <w:rFonts w:ascii="Times New Roman" w:hAnsi="Times New Roman" w:cs="Times New Roman"/>
          <w:sz w:val="24"/>
          <w:szCs w:val="24"/>
        </w:rPr>
        <w:t>)|s</w:t>
      </w:r>
      <w:r w:rsidR="00621156">
        <w:rPr>
          <w:rFonts w:ascii="Times New Roman" w:hAnsi="Times New Roman" w:cs="Times New Roman"/>
          <w:sz w:val="24"/>
          <w:szCs w:val="24"/>
        </w:rPr>
        <w:t>eparaator|anood(+) nn. ühikrakk</w:t>
      </w:r>
      <w:r w:rsidRPr="00787CD0">
        <w:rPr>
          <w:rFonts w:ascii="Times New Roman" w:hAnsi="Times New Roman" w:cs="Times New Roman"/>
          <w:sz w:val="24"/>
          <w:szCs w:val="24"/>
        </w:rPr>
        <w:t xml:space="preserve"> </w:t>
      </w:r>
      <w:r w:rsidR="00C53B3A">
        <w:rPr>
          <w:rFonts w:ascii="Times New Roman" w:hAnsi="Times New Roman" w:cs="Times New Roman"/>
          <w:sz w:val="24"/>
          <w:szCs w:val="24"/>
        </w:rPr>
        <w:t>(Joonis 2</w:t>
      </w:r>
      <w:r w:rsidR="00621156">
        <w:rPr>
          <w:rFonts w:ascii="Times New Roman" w:hAnsi="Times New Roman" w:cs="Times New Roman"/>
          <w:sz w:val="24"/>
          <w:szCs w:val="24"/>
        </w:rPr>
        <w:t xml:space="preserve">) </w:t>
      </w:r>
      <w:r w:rsidRPr="00787CD0">
        <w:rPr>
          <w:rFonts w:ascii="Times New Roman" w:hAnsi="Times New Roman" w:cs="Times New Roman"/>
          <w:sz w:val="24"/>
          <w:szCs w:val="24"/>
        </w:rPr>
        <w:t>ja paigutati mõõterakku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08B8">
        <w:rPr>
          <w:rFonts w:ascii="Times New Roman" w:hAnsi="Times New Roman" w:cs="Times New Roman"/>
          <w:sz w:val="24"/>
          <w:szCs w:val="24"/>
        </w:rPr>
        <w:t xml:space="preserve"> Mõõterakk koosnes </w:t>
      </w:r>
      <w:r w:rsidR="00AB08B8" w:rsidRPr="00AB08B8">
        <w:rPr>
          <w:rFonts w:ascii="Times New Roman" w:hAnsi="Times New Roman" w:cs="Times New Roman"/>
          <w:sz w:val="24"/>
          <w:szCs w:val="24"/>
        </w:rPr>
        <w:t>teflonkorpuses</w:t>
      </w:r>
      <w:r w:rsidR="00AB08B8">
        <w:rPr>
          <w:rFonts w:ascii="Times New Roman" w:hAnsi="Times New Roman" w:cs="Times New Roman"/>
          <w:sz w:val="24"/>
          <w:szCs w:val="24"/>
        </w:rPr>
        <w:t xml:space="preserve">t, kus elektroodid paiknesid </w:t>
      </w:r>
      <w:r w:rsidR="00AB08B8" w:rsidRPr="00AB08B8">
        <w:rPr>
          <w:rFonts w:ascii="Times New Roman" w:hAnsi="Times New Roman" w:cs="Times New Roman"/>
          <w:sz w:val="24"/>
          <w:szCs w:val="24"/>
        </w:rPr>
        <w:t>kahe ro</w:t>
      </w:r>
      <w:r w:rsidR="00AB08B8">
        <w:rPr>
          <w:rFonts w:ascii="Times New Roman" w:hAnsi="Times New Roman" w:cs="Times New Roman"/>
          <w:sz w:val="24"/>
          <w:szCs w:val="24"/>
        </w:rPr>
        <w:t>ostevaba</w:t>
      </w:r>
      <w:r w:rsidR="00C53B3A">
        <w:rPr>
          <w:rFonts w:ascii="Times New Roman" w:hAnsi="Times New Roman" w:cs="Times New Roman"/>
          <w:sz w:val="24"/>
          <w:szCs w:val="24"/>
        </w:rPr>
        <w:t>st terasest seibi vahel, mis oma</w:t>
      </w:r>
      <w:r w:rsidR="00AB08B8">
        <w:rPr>
          <w:rFonts w:ascii="Times New Roman" w:hAnsi="Times New Roman" w:cs="Times New Roman"/>
          <w:sz w:val="24"/>
          <w:szCs w:val="24"/>
        </w:rPr>
        <w:t>korda</w:t>
      </w:r>
      <w:r w:rsidR="00AB08B8" w:rsidRPr="00AB08B8">
        <w:rPr>
          <w:rFonts w:ascii="Times New Roman" w:hAnsi="Times New Roman" w:cs="Times New Roman"/>
          <w:sz w:val="24"/>
          <w:szCs w:val="24"/>
        </w:rPr>
        <w:t xml:space="preserve"> survestati membraanvedruga (p=48,5 N/cm</w:t>
      </w:r>
      <w:r w:rsidR="00AB08B8" w:rsidRPr="00AB08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B08B8" w:rsidRPr="00AB08B8">
        <w:rPr>
          <w:rFonts w:ascii="Times New Roman" w:hAnsi="Times New Roman" w:cs="Times New Roman"/>
          <w:sz w:val="24"/>
          <w:szCs w:val="24"/>
        </w:rPr>
        <w:t>).</w:t>
      </w:r>
    </w:p>
    <w:p w:rsidR="00851ABC" w:rsidRDefault="00851ABC" w:rsidP="00851A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2785565" cy="1316541"/>
            <wp:effectExtent l="19050" t="0" r="0" b="0"/>
            <wp:docPr id="5" name="Picture 4" descr="Ühikr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Ühikrak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229" cy="131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D0" w:rsidRDefault="00C53B3A" w:rsidP="00851ABC">
      <w:pPr>
        <w:spacing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Joonis 2</w:t>
      </w:r>
      <w:r w:rsidR="00851ABC">
        <w:rPr>
          <w:rFonts w:ascii="Times New Roman" w:hAnsi="Times New Roman" w:cs="Times New Roman"/>
          <w:sz w:val="24"/>
          <w:szCs w:val="24"/>
        </w:rPr>
        <w:t>. Ühikraku skeem</w:t>
      </w:r>
    </w:p>
    <w:p w:rsidR="00851ABC" w:rsidRDefault="00AB08B8" w:rsidP="0079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8B8">
        <w:rPr>
          <w:rFonts w:ascii="Times New Roman" w:hAnsi="Times New Roman" w:cs="Times New Roman"/>
          <w:sz w:val="24"/>
          <w:szCs w:val="24"/>
        </w:rPr>
        <w:t xml:space="preserve">Separaatori materjalina kasutati poorset polümeeri (Nippon Codoshi, paksus 25 </w:t>
      </w:r>
      <w:r w:rsidR="00792F21">
        <w:rPr>
          <w:rFonts w:ascii="Times New Roman" w:hAnsi="Times New Roman" w:cs="Times New Roman"/>
          <w:sz w:val="24"/>
          <w:szCs w:val="24"/>
        </w:rPr>
        <w:t>μm, S=</w:t>
      </w:r>
      <w:r w:rsidRPr="00AB08B8">
        <w:rPr>
          <w:rFonts w:ascii="Times New Roman" w:hAnsi="Times New Roman" w:cs="Times New Roman"/>
          <w:sz w:val="24"/>
          <w:szCs w:val="24"/>
        </w:rPr>
        <w:t>3,11 cm</w:t>
      </w:r>
      <w:r w:rsidRPr="00AB08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B08B8">
        <w:rPr>
          <w:rFonts w:ascii="Times New Roman" w:hAnsi="Times New Roman" w:cs="Times New Roman"/>
          <w:sz w:val="24"/>
          <w:szCs w:val="24"/>
        </w:rPr>
        <w:t>).</w:t>
      </w:r>
      <w:r w:rsidR="00792F21">
        <w:rPr>
          <w:rFonts w:ascii="Times New Roman" w:hAnsi="Times New Roman" w:cs="Times New Roman"/>
          <w:sz w:val="24"/>
          <w:szCs w:val="24"/>
        </w:rPr>
        <w:t xml:space="preserve"> </w:t>
      </w:r>
      <w:r w:rsidR="00792F21" w:rsidRPr="00792F21">
        <w:rPr>
          <w:rFonts w:ascii="Times New Roman" w:hAnsi="Times New Roman" w:cs="Times New Roman"/>
          <w:sz w:val="24"/>
          <w:szCs w:val="24"/>
        </w:rPr>
        <w:t xml:space="preserve">Selliselt koostatud mõõterakk </w:t>
      </w:r>
      <w:r w:rsidR="005810FE">
        <w:rPr>
          <w:rFonts w:ascii="Times New Roman" w:hAnsi="Times New Roman" w:cs="Times New Roman"/>
          <w:sz w:val="24"/>
          <w:szCs w:val="24"/>
        </w:rPr>
        <w:t>oli</w:t>
      </w:r>
      <w:r w:rsidR="00792F21" w:rsidRPr="00792F21">
        <w:rPr>
          <w:rFonts w:ascii="Times New Roman" w:hAnsi="Times New Roman" w:cs="Times New Roman"/>
          <w:sz w:val="24"/>
          <w:szCs w:val="24"/>
        </w:rPr>
        <w:t xml:space="preserve"> hermeetiliselt suletud. Korpuses paikneva ava abil mõõterakk vakumeeriti ning kasutades kolmikkraani, teostati ka elektrolüüdi lisamine, ilma et uuritav materjal puutuks kokku väliskeskkonnaga.</w:t>
      </w:r>
      <w:r w:rsidR="00792F21">
        <w:rPr>
          <w:rFonts w:ascii="Times New Roman" w:hAnsi="Times New Roman" w:cs="Times New Roman"/>
          <w:sz w:val="24"/>
          <w:szCs w:val="24"/>
        </w:rPr>
        <w:t xml:space="preserve"> Elektrolüütidena kasutati puhast ioonvadelikku </w:t>
      </w:r>
      <w:r w:rsidR="00D7038E">
        <w:rPr>
          <w:rFonts w:ascii="Times New Roman" w:hAnsi="Times New Roman" w:cs="Times New Roman"/>
          <w:sz w:val="24"/>
          <w:szCs w:val="24"/>
        </w:rPr>
        <w:t>1-etüül-3-</w:t>
      </w:r>
      <w:r w:rsidR="005810FE">
        <w:rPr>
          <w:rFonts w:ascii="Times New Roman" w:hAnsi="Times New Roman" w:cs="Times New Roman"/>
          <w:sz w:val="24"/>
          <w:szCs w:val="24"/>
        </w:rPr>
        <w:t>metüülimidasoolium trifluorometa</w:t>
      </w:r>
      <w:r w:rsidR="00D7038E">
        <w:rPr>
          <w:rFonts w:ascii="Times New Roman" w:hAnsi="Times New Roman" w:cs="Times New Roman"/>
          <w:sz w:val="24"/>
          <w:szCs w:val="24"/>
        </w:rPr>
        <w:t>a</w:t>
      </w:r>
      <w:r w:rsidR="005810FE" w:rsidRPr="005810FE">
        <w:rPr>
          <w:rFonts w:ascii="Times New Roman" w:hAnsi="Times New Roman" w:cs="Times New Roman"/>
          <w:sz w:val="24"/>
          <w:szCs w:val="24"/>
        </w:rPr>
        <w:t>n</w:t>
      </w:r>
      <w:r w:rsidR="00D7038E" w:rsidRPr="005810FE">
        <w:rPr>
          <w:rFonts w:ascii="Times New Roman" w:hAnsi="Times New Roman" w:cs="Times New Roman"/>
          <w:sz w:val="24"/>
          <w:szCs w:val="24"/>
        </w:rPr>
        <w:t>sulfonaat</w:t>
      </w:r>
      <w:r w:rsidR="00D7038E">
        <w:rPr>
          <w:rFonts w:ascii="Times New Roman" w:hAnsi="Times New Roman" w:cs="Times New Roman"/>
          <w:sz w:val="24"/>
          <w:szCs w:val="24"/>
        </w:rPr>
        <w:t xml:space="preserve"> (</w:t>
      </w:r>
      <w:r w:rsidR="00792F21">
        <w:rPr>
          <w:rFonts w:ascii="Times New Roman" w:hAnsi="Times New Roman" w:cs="Times New Roman"/>
          <w:sz w:val="24"/>
          <w:szCs w:val="24"/>
        </w:rPr>
        <w:t>EMITf</w:t>
      </w:r>
      <w:r w:rsidR="00D7038E">
        <w:rPr>
          <w:rFonts w:ascii="Times New Roman" w:hAnsi="Times New Roman" w:cs="Times New Roman"/>
          <w:sz w:val="24"/>
          <w:szCs w:val="24"/>
        </w:rPr>
        <w:t>)</w:t>
      </w:r>
      <w:r w:rsidR="00792F21">
        <w:rPr>
          <w:rFonts w:ascii="Times New Roman" w:hAnsi="Times New Roman" w:cs="Times New Roman"/>
          <w:sz w:val="24"/>
          <w:szCs w:val="24"/>
        </w:rPr>
        <w:t xml:space="preserve"> (</w:t>
      </w:r>
      <w:r w:rsidR="00792F21" w:rsidRPr="00792F21">
        <w:rPr>
          <w:rFonts w:ascii="Times New Roman" w:hAnsi="Times New Roman" w:cs="Times New Roman"/>
          <w:i/>
          <w:sz w:val="24"/>
          <w:szCs w:val="24"/>
        </w:rPr>
        <w:t>Sigma-Aldrich</w:t>
      </w:r>
      <w:r w:rsidR="00792F21">
        <w:rPr>
          <w:rFonts w:ascii="Times New Roman" w:hAnsi="Times New Roman" w:cs="Times New Roman"/>
          <w:sz w:val="24"/>
          <w:szCs w:val="24"/>
        </w:rPr>
        <w:t xml:space="preserve">) ja tetraetüülammoonium tetrafluoroboraadi </w:t>
      </w:r>
      <w:r w:rsidR="00D7038E">
        <w:rPr>
          <w:rFonts w:ascii="Times New Roman" w:hAnsi="Times New Roman" w:cs="Times New Roman"/>
          <w:sz w:val="24"/>
          <w:szCs w:val="24"/>
        </w:rPr>
        <w:t>(</w:t>
      </w:r>
      <w:r w:rsidR="00792F21">
        <w:rPr>
          <w:rFonts w:ascii="Times New Roman" w:hAnsi="Times New Roman" w:cs="Times New Roman"/>
          <w:sz w:val="24"/>
          <w:szCs w:val="24"/>
        </w:rPr>
        <w:t>TEABF</w:t>
      </w:r>
      <w:r w:rsidR="00792F21" w:rsidRPr="00D7038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7038E">
        <w:rPr>
          <w:rFonts w:ascii="Times New Roman" w:hAnsi="Times New Roman" w:cs="Times New Roman"/>
          <w:sz w:val="24"/>
          <w:szCs w:val="24"/>
        </w:rPr>
        <w:t>)</w:t>
      </w:r>
      <w:r w:rsidR="00792F21">
        <w:rPr>
          <w:rFonts w:ascii="Times New Roman" w:hAnsi="Times New Roman" w:cs="Times New Roman"/>
          <w:sz w:val="24"/>
          <w:szCs w:val="24"/>
        </w:rPr>
        <w:t xml:space="preserve"> 1 M</w:t>
      </w:r>
      <w:r w:rsidR="00792F21" w:rsidRPr="00792F21">
        <w:rPr>
          <w:rFonts w:ascii="Times New Roman" w:hAnsi="Times New Roman" w:cs="Times New Roman"/>
          <w:sz w:val="24"/>
          <w:szCs w:val="24"/>
        </w:rPr>
        <w:t xml:space="preserve"> </w:t>
      </w:r>
      <w:r w:rsidR="00792F21">
        <w:rPr>
          <w:rFonts w:ascii="Times New Roman" w:hAnsi="Times New Roman" w:cs="Times New Roman"/>
          <w:sz w:val="24"/>
          <w:szCs w:val="24"/>
        </w:rPr>
        <w:t>lahust propüleenkarbonaadis</w:t>
      </w:r>
      <w:r w:rsidR="00D7038E">
        <w:rPr>
          <w:rFonts w:ascii="Times New Roman" w:hAnsi="Times New Roman" w:cs="Times New Roman"/>
          <w:sz w:val="24"/>
          <w:szCs w:val="24"/>
        </w:rPr>
        <w:t xml:space="preserve"> (PC)</w:t>
      </w:r>
      <w:r w:rsidR="00FA21AA">
        <w:rPr>
          <w:rFonts w:ascii="Times New Roman" w:hAnsi="Times New Roman" w:cs="Times New Roman"/>
          <w:sz w:val="24"/>
          <w:szCs w:val="24"/>
        </w:rPr>
        <w:t xml:space="preserve"> (</w:t>
      </w:r>
      <w:r w:rsidR="00FA21AA" w:rsidRPr="00FA21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Honeywell </w:t>
      </w:r>
      <w:proofErr w:type="spellStart"/>
      <w:r w:rsidR="00FA21AA" w:rsidRPr="00FA21AA">
        <w:rPr>
          <w:rFonts w:ascii="Times New Roman" w:hAnsi="Times New Roman" w:cs="Times New Roman"/>
          <w:i/>
          <w:sz w:val="24"/>
          <w:szCs w:val="24"/>
          <w:lang w:val="en-US"/>
        </w:rPr>
        <w:t>Digirena</w:t>
      </w:r>
      <w:proofErr w:type="spellEnd"/>
      <w:r w:rsidR="00FA21A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92F21">
        <w:rPr>
          <w:rFonts w:ascii="Times New Roman" w:hAnsi="Times New Roman" w:cs="Times New Roman"/>
          <w:sz w:val="24"/>
          <w:szCs w:val="24"/>
        </w:rPr>
        <w:t xml:space="preserve">. </w:t>
      </w:r>
      <w:r w:rsidR="00792F21" w:rsidRPr="00792F21">
        <w:rPr>
          <w:rFonts w:ascii="Times New Roman" w:hAnsi="Times New Roman" w:cs="Times New Roman"/>
          <w:sz w:val="24"/>
          <w:szCs w:val="24"/>
        </w:rPr>
        <w:t>Katserakud</w:t>
      </w:r>
      <w:r w:rsidR="00D7038E">
        <w:rPr>
          <w:rFonts w:ascii="Times New Roman" w:hAnsi="Times New Roman" w:cs="Times New Roman"/>
          <w:sz w:val="24"/>
          <w:szCs w:val="24"/>
        </w:rPr>
        <w:t xml:space="preserve"> nummerdati vastavalt Tabelile 2</w:t>
      </w:r>
      <w:r w:rsidR="00792F21" w:rsidRPr="00792F21">
        <w:rPr>
          <w:rFonts w:ascii="Times New Roman" w:hAnsi="Times New Roman" w:cs="Times New Roman"/>
          <w:sz w:val="24"/>
          <w:szCs w:val="24"/>
        </w:rPr>
        <w:t>.</w:t>
      </w:r>
    </w:p>
    <w:p w:rsidR="006101F2" w:rsidRPr="006101F2" w:rsidRDefault="006101F2" w:rsidP="0079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 2.</w:t>
      </w:r>
      <w:r w:rsidRPr="00610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1F2">
        <w:rPr>
          <w:rFonts w:ascii="Times New Roman" w:hAnsi="Times New Roman" w:cs="Times New Roman"/>
          <w:sz w:val="24"/>
          <w:szCs w:val="24"/>
        </w:rPr>
        <w:t>Mõõterakkude koostamisel kasutatud erineva</w:t>
      </w:r>
      <w:r>
        <w:rPr>
          <w:rFonts w:ascii="Times New Roman" w:hAnsi="Times New Roman" w:cs="Times New Roman"/>
          <w:sz w:val="24"/>
          <w:szCs w:val="24"/>
        </w:rPr>
        <w:t>d süsinikmaterjalid ja elektrolüüdid</w:t>
      </w:r>
      <w:r w:rsidRPr="006101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2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18"/>
        <w:gridCol w:w="2126"/>
        <w:gridCol w:w="2072"/>
        <w:gridCol w:w="2072"/>
      </w:tblGrid>
      <w:tr w:rsidR="00D7038E" w:rsidRPr="00D7038E" w:rsidTr="006101F2">
        <w:trPr>
          <w:trHeight w:val="494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38E" w:rsidRPr="00D7038E" w:rsidRDefault="00D7038E" w:rsidP="00C53B3A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Katserakk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Süsinikmaterjal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Kile paksus</w:t>
            </w:r>
          </w:p>
          <w:p w:rsidR="00D7038E" w:rsidRPr="00D7038E" w:rsidRDefault="00875E44" w:rsidP="006101F2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D7038E" w:rsidRPr="00D7038E">
              <w:rPr>
                <w:sz w:val="24"/>
                <w:szCs w:val="24"/>
              </w:rPr>
              <w:t>μm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Elektrolüüt</w:t>
            </w:r>
          </w:p>
        </w:tc>
      </w:tr>
      <w:tr w:rsidR="00D7038E" w:rsidRPr="00D7038E" w:rsidTr="006101F2">
        <w:trPr>
          <w:trHeight w:val="513"/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1</w:t>
            </w:r>
            <w:r w:rsidR="00C53B3A">
              <w:rPr>
                <w:sz w:val="24"/>
                <w:szCs w:val="24"/>
              </w:rPr>
              <w:t xml:space="preserve"> (TEA600)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7038E" w:rsidRPr="006101F2" w:rsidRDefault="006101F2" w:rsidP="006101F2">
            <w:pPr>
              <w:spacing w:after="200"/>
              <w:jc w:val="center"/>
              <w:rPr>
                <w:i/>
                <w:sz w:val="24"/>
                <w:szCs w:val="24"/>
              </w:rPr>
            </w:pPr>
            <w:r w:rsidRPr="006101F2">
              <w:rPr>
                <w:i/>
                <w:sz w:val="24"/>
                <w:szCs w:val="24"/>
              </w:rPr>
              <w:t xml:space="preserve">CDC </w:t>
            </w:r>
            <w:r w:rsidR="00D7038E" w:rsidRPr="006101F2">
              <w:rPr>
                <w:i/>
                <w:sz w:val="24"/>
                <w:szCs w:val="24"/>
              </w:rPr>
              <w:t>TiC-Cl 600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100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1,0M TEABF</w:t>
            </w:r>
            <w:r w:rsidRPr="00D7038E">
              <w:rPr>
                <w:sz w:val="24"/>
                <w:szCs w:val="24"/>
                <w:vertAlign w:val="subscript"/>
              </w:rPr>
              <w:t>4</w:t>
            </w:r>
            <w:r w:rsidRPr="00D7038E">
              <w:rPr>
                <w:sz w:val="24"/>
                <w:szCs w:val="24"/>
              </w:rPr>
              <w:t>/PC</w:t>
            </w:r>
          </w:p>
        </w:tc>
      </w:tr>
      <w:tr w:rsidR="00D7038E" w:rsidRPr="00D7038E" w:rsidTr="006101F2">
        <w:trPr>
          <w:trHeight w:val="494"/>
          <w:jc w:val="center"/>
        </w:trPr>
        <w:tc>
          <w:tcPr>
            <w:tcW w:w="2018" w:type="dxa"/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2</w:t>
            </w:r>
            <w:r w:rsidR="00C53B3A">
              <w:rPr>
                <w:sz w:val="24"/>
                <w:szCs w:val="24"/>
              </w:rPr>
              <w:t xml:space="preserve"> (TEA800)</w:t>
            </w:r>
          </w:p>
        </w:tc>
        <w:tc>
          <w:tcPr>
            <w:tcW w:w="2126" w:type="dxa"/>
            <w:vAlign w:val="center"/>
          </w:tcPr>
          <w:p w:rsidR="00D7038E" w:rsidRPr="006101F2" w:rsidRDefault="006101F2" w:rsidP="006101F2">
            <w:pPr>
              <w:spacing w:after="200"/>
              <w:jc w:val="center"/>
              <w:rPr>
                <w:i/>
                <w:sz w:val="24"/>
                <w:szCs w:val="24"/>
              </w:rPr>
            </w:pPr>
            <w:r w:rsidRPr="006101F2">
              <w:rPr>
                <w:i/>
                <w:sz w:val="24"/>
                <w:szCs w:val="24"/>
              </w:rPr>
              <w:t xml:space="preserve">CDC </w:t>
            </w:r>
            <w:r w:rsidR="00D7038E" w:rsidRPr="006101F2">
              <w:rPr>
                <w:i/>
                <w:sz w:val="24"/>
                <w:szCs w:val="24"/>
              </w:rPr>
              <w:t>TiC-Cl 800</w:t>
            </w:r>
          </w:p>
        </w:tc>
        <w:tc>
          <w:tcPr>
            <w:tcW w:w="2072" w:type="dxa"/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100</w:t>
            </w:r>
          </w:p>
        </w:tc>
        <w:tc>
          <w:tcPr>
            <w:tcW w:w="2072" w:type="dxa"/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1,0M TEABF</w:t>
            </w:r>
            <w:r w:rsidRPr="00D7038E">
              <w:rPr>
                <w:sz w:val="24"/>
                <w:szCs w:val="24"/>
                <w:vertAlign w:val="subscript"/>
              </w:rPr>
              <w:t>4</w:t>
            </w:r>
            <w:r w:rsidRPr="00D7038E">
              <w:rPr>
                <w:sz w:val="24"/>
                <w:szCs w:val="24"/>
              </w:rPr>
              <w:t>/PC</w:t>
            </w:r>
          </w:p>
        </w:tc>
      </w:tr>
      <w:tr w:rsidR="00D7038E" w:rsidRPr="00D7038E" w:rsidTr="006101F2">
        <w:trPr>
          <w:trHeight w:val="494"/>
          <w:jc w:val="center"/>
        </w:trPr>
        <w:tc>
          <w:tcPr>
            <w:tcW w:w="2018" w:type="dxa"/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3</w:t>
            </w:r>
            <w:r w:rsidR="00C53B3A">
              <w:rPr>
                <w:sz w:val="24"/>
                <w:szCs w:val="24"/>
              </w:rPr>
              <w:t xml:space="preserve"> (EMI600)</w:t>
            </w:r>
          </w:p>
        </w:tc>
        <w:tc>
          <w:tcPr>
            <w:tcW w:w="2126" w:type="dxa"/>
            <w:vAlign w:val="center"/>
          </w:tcPr>
          <w:p w:rsidR="00D7038E" w:rsidRPr="006101F2" w:rsidRDefault="006101F2" w:rsidP="006101F2">
            <w:pPr>
              <w:spacing w:after="200"/>
              <w:jc w:val="center"/>
              <w:rPr>
                <w:i/>
                <w:sz w:val="24"/>
                <w:szCs w:val="24"/>
              </w:rPr>
            </w:pPr>
            <w:r w:rsidRPr="006101F2">
              <w:rPr>
                <w:i/>
                <w:sz w:val="24"/>
                <w:szCs w:val="24"/>
              </w:rPr>
              <w:t xml:space="preserve">CDC </w:t>
            </w:r>
            <w:r w:rsidR="00D7038E" w:rsidRPr="006101F2">
              <w:rPr>
                <w:i/>
                <w:sz w:val="24"/>
                <w:szCs w:val="24"/>
              </w:rPr>
              <w:t>TiC-Cl 600</w:t>
            </w:r>
          </w:p>
        </w:tc>
        <w:tc>
          <w:tcPr>
            <w:tcW w:w="2072" w:type="dxa"/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100</w:t>
            </w:r>
          </w:p>
        </w:tc>
        <w:tc>
          <w:tcPr>
            <w:tcW w:w="2072" w:type="dxa"/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EMITf</w:t>
            </w:r>
          </w:p>
        </w:tc>
      </w:tr>
      <w:tr w:rsidR="00D7038E" w:rsidRPr="00D7038E" w:rsidTr="006101F2">
        <w:trPr>
          <w:trHeight w:val="494"/>
          <w:jc w:val="center"/>
        </w:trPr>
        <w:tc>
          <w:tcPr>
            <w:tcW w:w="2018" w:type="dxa"/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4</w:t>
            </w:r>
            <w:r w:rsidR="00C53B3A">
              <w:rPr>
                <w:sz w:val="24"/>
                <w:szCs w:val="24"/>
              </w:rPr>
              <w:t xml:space="preserve"> (EMI800)</w:t>
            </w:r>
          </w:p>
        </w:tc>
        <w:tc>
          <w:tcPr>
            <w:tcW w:w="2126" w:type="dxa"/>
            <w:vAlign w:val="center"/>
          </w:tcPr>
          <w:p w:rsidR="00D7038E" w:rsidRPr="006101F2" w:rsidRDefault="006101F2" w:rsidP="006101F2">
            <w:pPr>
              <w:spacing w:after="200"/>
              <w:jc w:val="center"/>
              <w:rPr>
                <w:i/>
                <w:sz w:val="24"/>
                <w:szCs w:val="24"/>
              </w:rPr>
            </w:pPr>
            <w:r w:rsidRPr="006101F2">
              <w:rPr>
                <w:i/>
                <w:sz w:val="24"/>
                <w:szCs w:val="24"/>
              </w:rPr>
              <w:t xml:space="preserve">CDC </w:t>
            </w:r>
            <w:r w:rsidR="00D7038E" w:rsidRPr="006101F2">
              <w:rPr>
                <w:i/>
                <w:sz w:val="24"/>
                <w:szCs w:val="24"/>
              </w:rPr>
              <w:t>TiC-Cl 800</w:t>
            </w:r>
          </w:p>
        </w:tc>
        <w:tc>
          <w:tcPr>
            <w:tcW w:w="2072" w:type="dxa"/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100</w:t>
            </w:r>
          </w:p>
        </w:tc>
        <w:tc>
          <w:tcPr>
            <w:tcW w:w="2072" w:type="dxa"/>
            <w:vAlign w:val="center"/>
          </w:tcPr>
          <w:p w:rsidR="00D7038E" w:rsidRPr="00D7038E" w:rsidRDefault="00D7038E" w:rsidP="006101F2">
            <w:pPr>
              <w:spacing w:after="200"/>
              <w:jc w:val="center"/>
              <w:rPr>
                <w:sz w:val="24"/>
                <w:szCs w:val="24"/>
              </w:rPr>
            </w:pPr>
            <w:r w:rsidRPr="00D7038E">
              <w:rPr>
                <w:sz w:val="24"/>
                <w:szCs w:val="24"/>
              </w:rPr>
              <w:t>EMITf</w:t>
            </w:r>
          </w:p>
        </w:tc>
      </w:tr>
    </w:tbl>
    <w:p w:rsidR="007249AC" w:rsidRDefault="007249AC" w:rsidP="00792F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F2" w:rsidRDefault="006101F2" w:rsidP="00792F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1F2">
        <w:rPr>
          <w:rFonts w:ascii="Times New Roman" w:hAnsi="Times New Roman" w:cs="Times New Roman"/>
          <w:b/>
          <w:sz w:val="24"/>
          <w:szCs w:val="24"/>
        </w:rPr>
        <w:lastRenderedPageBreak/>
        <w:t>TULEMUSED JA ARUTELU</w:t>
      </w:r>
    </w:p>
    <w:p w:rsidR="0070368C" w:rsidRDefault="0070368C" w:rsidP="00792F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Täituri lineaarse nihke mõõtmised konstantse voolu režiimis</w:t>
      </w:r>
    </w:p>
    <w:p w:rsidR="0070368C" w:rsidRDefault="0070368C" w:rsidP="0079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68C">
        <w:rPr>
          <w:rFonts w:ascii="Times New Roman" w:hAnsi="Times New Roman" w:cs="Times New Roman"/>
          <w:sz w:val="24"/>
          <w:szCs w:val="24"/>
        </w:rPr>
        <w:t xml:space="preserve">Galvanostaatilise meetodi rakendamisel kasutati erinevate mõõterakkude puhul voolu väärtusi 10 mA kuni 400 mA. Samal ajal registreeriti süsinik/polümeer elektroodide ristsuunaline nihe pinge väärtustel 1,5; 2,0; 2,5; 3,0 V. </w:t>
      </w:r>
      <w:r w:rsidR="005810FE" w:rsidRPr="005810FE">
        <w:rPr>
          <w:rFonts w:ascii="Times New Roman" w:hAnsi="Times New Roman" w:cs="Times New Roman"/>
          <w:sz w:val="24"/>
          <w:szCs w:val="24"/>
        </w:rPr>
        <w:t>Konstantse vooluga laadimisel oli</w:t>
      </w:r>
      <w:r w:rsidRPr="005810FE">
        <w:rPr>
          <w:rFonts w:ascii="Times New Roman" w:hAnsi="Times New Roman" w:cs="Times New Roman"/>
          <w:sz w:val="24"/>
          <w:szCs w:val="24"/>
        </w:rPr>
        <w:t xml:space="preserve"> väikestel voolu väärtusel pinge kasv ajas lineaarne.</w:t>
      </w:r>
      <w:r w:rsidRPr="0070368C">
        <w:rPr>
          <w:rFonts w:ascii="Times New Roman" w:hAnsi="Times New Roman" w:cs="Times New Roman"/>
          <w:sz w:val="24"/>
          <w:szCs w:val="24"/>
        </w:rPr>
        <w:t xml:space="preserve"> Voolu väärtusel 10 mA mõõdetud nelja mõõteraku nihked</w:t>
      </w:r>
      <w:r w:rsidR="00A60417">
        <w:rPr>
          <w:rFonts w:ascii="Times New Roman" w:hAnsi="Times New Roman" w:cs="Times New Roman"/>
          <w:sz w:val="24"/>
          <w:szCs w:val="24"/>
        </w:rPr>
        <w:t xml:space="preserve"> on kujutatud Joonisel 3</w:t>
      </w:r>
      <w:r w:rsidRPr="0070368C">
        <w:rPr>
          <w:rFonts w:ascii="Times New Roman" w:hAnsi="Times New Roman" w:cs="Times New Roman"/>
          <w:sz w:val="24"/>
          <w:szCs w:val="24"/>
        </w:rPr>
        <w:t>. Graafikutelt on näha et, uuritud erinevates süsteemides ei esinenud liigutuse suuri erinevusi mada</w:t>
      </w:r>
      <w:r w:rsidR="00271EDE">
        <w:rPr>
          <w:rFonts w:ascii="Times New Roman" w:hAnsi="Times New Roman" w:cs="Times New Roman"/>
          <w:sz w:val="24"/>
          <w:szCs w:val="24"/>
        </w:rPr>
        <w:t>lamatel pingetel st. kuni 2,5 V</w:t>
      </w:r>
      <w:r w:rsidRPr="0070368C">
        <w:rPr>
          <w:rFonts w:ascii="Times New Roman" w:hAnsi="Times New Roman" w:cs="Times New Roman"/>
          <w:sz w:val="24"/>
          <w:szCs w:val="24"/>
        </w:rPr>
        <w:t xml:space="preserve">. Antud pingel oli rakkude 1 kuni 4 maksimaalne liigutuste erinevus u. 20 %. Seejuures pingel 3 V aga täheldati ligikaudu kahekordset liigutuse erinevust, mis oli 6,2 </w:t>
      </w:r>
      <w:r w:rsidR="00C53B3A">
        <w:rPr>
          <w:rFonts w:ascii="Times New Roman" w:hAnsi="Times New Roman" w:cs="Times New Roman"/>
          <w:sz w:val="24"/>
          <w:szCs w:val="24"/>
        </w:rPr>
        <w:t>μ</w:t>
      </w:r>
      <w:r w:rsidRPr="0070368C">
        <w:rPr>
          <w:rFonts w:ascii="Times New Roman" w:hAnsi="Times New Roman" w:cs="Times New Roman"/>
          <w:sz w:val="24"/>
          <w:szCs w:val="24"/>
        </w:rPr>
        <w:t xml:space="preserve">m rakus 1 ja 12 </w:t>
      </w:r>
      <w:r w:rsidR="00C53B3A">
        <w:rPr>
          <w:rFonts w:ascii="Times New Roman" w:hAnsi="Times New Roman" w:cs="Times New Roman"/>
          <w:sz w:val="24"/>
          <w:szCs w:val="24"/>
        </w:rPr>
        <w:t>μ</w:t>
      </w:r>
      <w:r w:rsidRPr="0070368C">
        <w:rPr>
          <w:rFonts w:ascii="Times New Roman" w:hAnsi="Times New Roman" w:cs="Times New Roman"/>
          <w:sz w:val="24"/>
          <w:szCs w:val="24"/>
        </w:rPr>
        <w:t xml:space="preserve">m rakus 3. Kuna rakkudes 1 ja 3 oli elektroodi materjalina kasutusel sama süsinikmaterjal, siis saab erinev paisumine tuleneda ainult laengukandjate ja süsinik/polümeeri omavahelisest interaktsioonist mõõtmistsükli käigus. </w:t>
      </w:r>
      <w:r w:rsidRPr="001E6FCD">
        <w:rPr>
          <w:rFonts w:ascii="Times New Roman" w:hAnsi="Times New Roman" w:cs="Times New Roman"/>
          <w:sz w:val="24"/>
          <w:szCs w:val="24"/>
        </w:rPr>
        <w:t>Ühe s</w:t>
      </w:r>
      <w:r w:rsidR="005810FE" w:rsidRPr="001E6FCD">
        <w:rPr>
          <w:rFonts w:ascii="Times New Roman" w:hAnsi="Times New Roman" w:cs="Times New Roman"/>
          <w:sz w:val="24"/>
          <w:szCs w:val="24"/>
        </w:rPr>
        <w:t>üsinikmaterjali erinev paisumise määr</w:t>
      </w:r>
      <w:r w:rsidRPr="001E6FCD">
        <w:rPr>
          <w:rFonts w:ascii="Times New Roman" w:hAnsi="Times New Roman" w:cs="Times New Roman"/>
          <w:sz w:val="24"/>
          <w:szCs w:val="24"/>
        </w:rPr>
        <w:t xml:space="preserve"> erinevates solvent/sool süsteemi</w:t>
      </w:r>
      <w:r w:rsidR="005810FE" w:rsidRPr="001E6FCD">
        <w:rPr>
          <w:rFonts w:ascii="Times New Roman" w:hAnsi="Times New Roman" w:cs="Times New Roman"/>
          <w:sz w:val="24"/>
          <w:szCs w:val="24"/>
        </w:rPr>
        <w:t xml:space="preserve">des on varasemalt kirjeldatud </w:t>
      </w:r>
      <w:r w:rsidR="001E6FCD" w:rsidRPr="001E6FCD">
        <w:rPr>
          <w:rFonts w:ascii="Times New Roman" w:hAnsi="Times New Roman" w:cs="Times New Roman"/>
          <w:sz w:val="24"/>
          <w:szCs w:val="24"/>
        </w:rPr>
        <w:t xml:space="preserve">(Hahn </w:t>
      </w:r>
      <w:r w:rsidR="001E6FCD" w:rsidRPr="001E6FCD">
        <w:rPr>
          <w:rFonts w:ascii="Times New Roman" w:hAnsi="Times New Roman" w:cs="Times New Roman"/>
          <w:i/>
          <w:sz w:val="24"/>
          <w:szCs w:val="24"/>
        </w:rPr>
        <w:t>et al</w:t>
      </w:r>
      <w:r w:rsidR="00A60417" w:rsidRPr="001E6FCD">
        <w:rPr>
          <w:rFonts w:ascii="Times New Roman" w:hAnsi="Times New Roman" w:cs="Times New Roman"/>
          <w:i/>
          <w:sz w:val="24"/>
          <w:szCs w:val="24"/>
        </w:rPr>
        <w:t>.</w:t>
      </w:r>
      <w:r w:rsidR="001E6FCD" w:rsidRPr="001E6FCD">
        <w:rPr>
          <w:rFonts w:ascii="Times New Roman" w:hAnsi="Times New Roman" w:cs="Times New Roman"/>
          <w:sz w:val="24"/>
          <w:szCs w:val="24"/>
        </w:rPr>
        <w:t>, 2006).</w:t>
      </w:r>
    </w:p>
    <w:p w:rsidR="00C53B3A" w:rsidRDefault="00C53B3A" w:rsidP="00A604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2764510" cy="2076450"/>
            <wp:effectExtent l="19050" t="0" r="0" b="0"/>
            <wp:docPr id="1" name="Picture 0" descr="Mõõter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õõterak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51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2339880" cy="2045748"/>
            <wp:effectExtent l="19050" t="0" r="3270" b="0"/>
            <wp:docPr id="3" name="Picture 2" descr="Graaf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afi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880" cy="204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417" w:rsidRDefault="00C53B3A" w:rsidP="0079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417">
        <w:rPr>
          <w:rFonts w:ascii="Times New Roman" w:hAnsi="Times New Roman" w:cs="Times New Roman"/>
          <w:b/>
          <w:sz w:val="24"/>
          <w:szCs w:val="24"/>
        </w:rPr>
        <w:t>Joo</w:t>
      </w:r>
      <w:r w:rsidR="00A60417" w:rsidRPr="00A60417">
        <w:rPr>
          <w:rFonts w:ascii="Times New Roman" w:hAnsi="Times New Roman" w:cs="Times New Roman"/>
          <w:b/>
          <w:sz w:val="24"/>
          <w:szCs w:val="24"/>
        </w:rPr>
        <w:t>nis 3.</w:t>
      </w:r>
      <w:r w:rsidR="00A60417">
        <w:rPr>
          <w:rFonts w:ascii="Times New Roman" w:hAnsi="Times New Roman" w:cs="Times New Roman"/>
          <w:sz w:val="24"/>
          <w:szCs w:val="24"/>
        </w:rPr>
        <w:t xml:space="preserve"> Katseskeem lineaarsete täiturite uuringuks (vasakul) ja registreeritud nihke väärtused galvanostaatilises</w:t>
      </w:r>
      <w:r w:rsidR="009F45DA">
        <w:rPr>
          <w:rFonts w:ascii="Times New Roman" w:hAnsi="Times New Roman" w:cs="Times New Roman"/>
          <w:sz w:val="24"/>
          <w:szCs w:val="24"/>
        </w:rPr>
        <w:t xml:space="preserve"> režiimis (paremal),</w:t>
      </w:r>
      <w:r w:rsidR="00A60417">
        <w:rPr>
          <w:rFonts w:ascii="Times New Roman" w:hAnsi="Times New Roman" w:cs="Times New Roman"/>
          <w:sz w:val="24"/>
          <w:szCs w:val="24"/>
        </w:rPr>
        <w:t xml:space="preserve"> I= 10 mA</w:t>
      </w:r>
      <w:r w:rsidR="009F45DA">
        <w:rPr>
          <w:rFonts w:ascii="Times New Roman" w:hAnsi="Times New Roman" w:cs="Times New Roman"/>
          <w:sz w:val="24"/>
          <w:szCs w:val="24"/>
        </w:rPr>
        <w:t>.</w:t>
      </w:r>
    </w:p>
    <w:p w:rsidR="00FB0F2F" w:rsidRDefault="00FB0F2F" w:rsidP="00C757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712A" w:rsidRDefault="00FB0F2F" w:rsidP="00FB0F2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Täiturite pöörduvuse uurimine tsüklilise voltamperomeetriaga</w:t>
      </w:r>
    </w:p>
    <w:p w:rsidR="0061330A" w:rsidRPr="0061330A" w:rsidRDefault="009D2B96" w:rsidP="006133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1330A">
        <w:rPr>
          <w:rFonts w:ascii="Times New Roman" w:hAnsi="Times New Roman" w:cs="Times New Roman"/>
          <w:sz w:val="24"/>
          <w:szCs w:val="24"/>
        </w:rPr>
        <w:t xml:space="preserve">süklilise voltamperomeetria </w:t>
      </w:r>
      <w:r>
        <w:rPr>
          <w:rFonts w:ascii="Times New Roman" w:hAnsi="Times New Roman" w:cs="Times New Roman"/>
          <w:sz w:val="24"/>
          <w:szCs w:val="24"/>
        </w:rPr>
        <w:t>abil uuriti aktuaator</w:t>
      </w:r>
      <w:r w:rsidRPr="0061330A">
        <w:rPr>
          <w:rFonts w:ascii="Times New Roman" w:hAnsi="Times New Roman" w:cs="Times New Roman"/>
          <w:sz w:val="24"/>
          <w:szCs w:val="24"/>
        </w:rPr>
        <w:t>süsteemi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61330A">
        <w:rPr>
          <w:rFonts w:ascii="Times New Roman" w:hAnsi="Times New Roman" w:cs="Times New Roman"/>
          <w:sz w:val="24"/>
          <w:szCs w:val="24"/>
        </w:rPr>
        <w:t xml:space="preserve"> stabiilsust pinge vahemikus 0 kuni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30A">
        <w:rPr>
          <w:rFonts w:ascii="Times New Roman" w:hAnsi="Times New Roman" w:cs="Times New Roman"/>
          <w:sz w:val="24"/>
          <w:szCs w:val="24"/>
        </w:rPr>
        <w:t xml:space="preserve"> V, kasutades </w:t>
      </w:r>
      <w:r>
        <w:rPr>
          <w:rFonts w:ascii="Times New Roman" w:hAnsi="Times New Roman" w:cs="Times New Roman"/>
          <w:sz w:val="24"/>
          <w:szCs w:val="24"/>
        </w:rPr>
        <w:t>elektrilise kaksikkihi kondensaatori puhul laialt levinud</w:t>
      </w:r>
      <w:r w:rsidR="007C0DEA">
        <w:rPr>
          <w:rFonts w:ascii="Times New Roman" w:hAnsi="Times New Roman" w:cs="Times New Roman"/>
          <w:sz w:val="24"/>
          <w:szCs w:val="24"/>
        </w:rPr>
        <w:t xml:space="preserve"> mõõtmiste metoodikat (Permann, 2006)</w:t>
      </w:r>
      <w:r w:rsidRPr="0061330A">
        <w:rPr>
          <w:rFonts w:ascii="Times New Roman" w:hAnsi="Times New Roman" w:cs="Times New Roman"/>
          <w:sz w:val="24"/>
          <w:szCs w:val="24"/>
        </w:rPr>
        <w:t>.</w:t>
      </w:r>
      <w:r w:rsidR="007C0DEA">
        <w:rPr>
          <w:rFonts w:ascii="Times New Roman" w:hAnsi="Times New Roman" w:cs="Times New Roman"/>
          <w:sz w:val="24"/>
          <w:szCs w:val="24"/>
        </w:rPr>
        <w:t xml:space="preserve"> </w:t>
      </w:r>
      <w:r w:rsidR="0061330A" w:rsidRPr="0061330A">
        <w:rPr>
          <w:rFonts w:ascii="Times New Roman" w:hAnsi="Times New Roman" w:cs="Times New Roman"/>
          <w:sz w:val="24"/>
          <w:szCs w:val="24"/>
        </w:rPr>
        <w:t>Uuritud süsinik/polümeer materjalidel teostati tsükliline voltamperomeetria laotuskiirustel 2, 5, 10 ja 50 mV/</w:t>
      </w:r>
      <w:r w:rsidR="00271EDE">
        <w:rPr>
          <w:rFonts w:ascii="Times New Roman" w:hAnsi="Times New Roman" w:cs="Times New Roman"/>
          <w:sz w:val="24"/>
          <w:szCs w:val="24"/>
        </w:rPr>
        <w:t>s. Pingete vahemik valiti 0-2,5;</w:t>
      </w:r>
      <w:r w:rsidR="0061330A" w:rsidRPr="0061330A">
        <w:rPr>
          <w:rFonts w:ascii="Times New Roman" w:hAnsi="Times New Roman" w:cs="Times New Roman"/>
          <w:sz w:val="24"/>
          <w:szCs w:val="24"/>
        </w:rPr>
        <w:t xml:space="preserve"> 0-2,7 ja 0-3 V. </w:t>
      </w:r>
      <w:r w:rsidR="001E6FCD">
        <w:rPr>
          <w:rFonts w:ascii="Times New Roman" w:hAnsi="Times New Roman" w:cs="Times New Roman"/>
          <w:sz w:val="24"/>
          <w:szCs w:val="24"/>
        </w:rPr>
        <w:t>E</w:t>
      </w:r>
      <w:r w:rsidR="0061330A" w:rsidRPr="0061330A">
        <w:rPr>
          <w:rFonts w:ascii="Times New Roman" w:hAnsi="Times New Roman" w:cs="Times New Roman"/>
          <w:sz w:val="24"/>
          <w:szCs w:val="24"/>
        </w:rPr>
        <w:t xml:space="preserve">rimahtuvuse (F/g) ja potentsiaali (V) kõveratel </w:t>
      </w:r>
      <w:r w:rsidR="001E6FCD" w:rsidRPr="001E6FCD">
        <w:rPr>
          <w:rFonts w:ascii="Times New Roman" w:hAnsi="Times New Roman" w:cs="Times New Roman"/>
          <w:sz w:val="24"/>
          <w:szCs w:val="24"/>
        </w:rPr>
        <w:t xml:space="preserve">on </w:t>
      </w:r>
      <w:r w:rsidR="0061330A" w:rsidRPr="001E6FCD">
        <w:rPr>
          <w:rFonts w:ascii="Times New Roman" w:hAnsi="Times New Roman" w:cs="Times New Roman"/>
          <w:sz w:val="24"/>
          <w:szCs w:val="24"/>
        </w:rPr>
        <w:t xml:space="preserve">erimahtuvus </w:t>
      </w:r>
      <w:r w:rsidR="001E6FCD" w:rsidRPr="001E6FCD">
        <w:rPr>
          <w:rFonts w:ascii="Times New Roman" w:hAnsi="Times New Roman" w:cs="Times New Roman"/>
          <w:sz w:val="24"/>
          <w:szCs w:val="24"/>
        </w:rPr>
        <w:t>väljendatud</w:t>
      </w:r>
      <w:r w:rsidR="001E6FCD">
        <w:rPr>
          <w:rFonts w:ascii="Times New Roman" w:hAnsi="Times New Roman" w:cs="Times New Roman"/>
          <w:sz w:val="24"/>
          <w:szCs w:val="24"/>
        </w:rPr>
        <w:t xml:space="preserve"> kuiva süsinikmaterjalist</w:t>
      </w:r>
      <w:r w:rsidR="0061330A" w:rsidRPr="0061330A">
        <w:rPr>
          <w:rFonts w:ascii="Times New Roman" w:hAnsi="Times New Roman" w:cs="Times New Roman"/>
          <w:sz w:val="24"/>
          <w:szCs w:val="24"/>
        </w:rPr>
        <w:t xml:space="preserve"> elektroodi massi kohta</w:t>
      </w:r>
      <w:r w:rsidR="0061330A">
        <w:rPr>
          <w:rFonts w:ascii="Times New Roman" w:hAnsi="Times New Roman" w:cs="Times New Roman"/>
          <w:sz w:val="24"/>
          <w:szCs w:val="24"/>
        </w:rPr>
        <w:t xml:space="preserve"> (Joonis 5). G</w:t>
      </w:r>
      <w:r w:rsidR="0061330A" w:rsidRPr="0061330A">
        <w:rPr>
          <w:rFonts w:ascii="Times New Roman" w:hAnsi="Times New Roman" w:cs="Times New Roman"/>
          <w:sz w:val="24"/>
          <w:szCs w:val="24"/>
        </w:rPr>
        <w:t>raafikul</w:t>
      </w:r>
      <w:r w:rsidR="00497B7D">
        <w:rPr>
          <w:rFonts w:ascii="Times New Roman" w:hAnsi="Times New Roman" w:cs="Times New Roman"/>
          <w:sz w:val="24"/>
          <w:szCs w:val="24"/>
        </w:rPr>
        <w:t>tel</w:t>
      </w:r>
      <w:r w:rsidR="0061330A" w:rsidRPr="0061330A">
        <w:rPr>
          <w:rFonts w:ascii="Times New Roman" w:hAnsi="Times New Roman" w:cs="Times New Roman"/>
          <w:sz w:val="24"/>
          <w:szCs w:val="24"/>
        </w:rPr>
        <w:t xml:space="preserve"> on </w:t>
      </w:r>
      <w:r w:rsidR="0061330A">
        <w:rPr>
          <w:rFonts w:ascii="Times New Roman" w:hAnsi="Times New Roman" w:cs="Times New Roman"/>
          <w:sz w:val="24"/>
          <w:szCs w:val="24"/>
        </w:rPr>
        <w:t xml:space="preserve">kujutatud </w:t>
      </w:r>
      <w:r w:rsidR="00497B7D"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z w:val="24"/>
          <w:szCs w:val="24"/>
        </w:rPr>
        <w:t xml:space="preserve">nevatel laotuskiirustel saadud </w:t>
      </w:r>
      <w:r w:rsidR="0061330A" w:rsidRPr="0061330A">
        <w:rPr>
          <w:rFonts w:ascii="Times New Roman" w:hAnsi="Times New Roman" w:cs="Times New Roman"/>
          <w:sz w:val="24"/>
          <w:szCs w:val="24"/>
        </w:rPr>
        <w:t>sõltuvused</w:t>
      </w:r>
      <w:r>
        <w:rPr>
          <w:rFonts w:ascii="Times New Roman" w:hAnsi="Times New Roman" w:cs="Times New Roman"/>
          <w:sz w:val="24"/>
          <w:szCs w:val="24"/>
        </w:rPr>
        <w:t xml:space="preserve"> erimahtuvuse ja pinge vahel. </w:t>
      </w:r>
      <w:r w:rsidR="0061330A" w:rsidRPr="0061330A">
        <w:rPr>
          <w:rFonts w:ascii="Times New Roman" w:hAnsi="Times New Roman" w:cs="Times New Roman"/>
          <w:sz w:val="24"/>
          <w:szCs w:val="24"/>
        </w:rPr>
        <w:t>Süsinike</w:t>
      </w:r>
      <w:r w:rsidR="0061330A">
        <w:rPr>
          <w:rFonts w:ascii="Times New Roman" w:hAnsi="Times New Roman" w:cs="Times New Roman"/>
          <w:sz w:val="24"/>
          <w:szCs w:val="24"/>
        </w:rPr>
        <w:t>lektroode</w:t>
      </w:r>
      <w:r w:rsidR="0061330A" w:rsidRPr="0061330A">
        <w:rPr>
          <w:rFonts w:ascii="Times New Roman" w:hAnsi="Times New Roman" w:cs="Times New Roman"/>
          <w:sz w:val="24"/>
          <w:szCs w:val="24"/>
        </w:rPr>
        <w:t xml:space="preserve"> </w:t>
      </w:r>
      <w:r w:rsidR="0061330A">
        <w:rPr>
          <w:rFonts w:ascii="Times New Roman" w:hAnsi="Times New Roman" w:cs="Times New Roman"/>
          <w:sz w:val="24"/>
          <w:szCs w:val="24"/>
        </w:rPr>
        <w:t>iseloomustav</w:t>
      </w:r>
      <w:r w:rsidR="0061330A" w:rsidRPr="0061330A">
        <w:rPr>
          <w:rFonts w:ascii="Times New Roman" w:hAnsi="Times New Roman" w:cs="Times New Roman"/>
          <w:sz w:val="24"/>
          <w:szCs w:val="24"/>
        </w:rPr>
        <w:t xml:space="preserve"> erimahtuvus sõltub olulisel määral pinge laotuskiirusest. </w:t>
      </w:r>
      <w:r w:rsidR="0061330A">
        <w:rPr>
          <w:rFonts w:ascii="Times New Roman" w:hAnsi="Times New Roman" w:cs="Times New Roman"/>
          <w:sz w:val="24"/>
          <w:szCs w:val="24"/>
        </w:rPr>
        <w:t>Joonisel 5</w:t>
      </w:r>
      <w:r>
        <w:rPr>
          <w:rFonts w:ascii="Times New Roman" w:hAnsi="Times New Roman" w:cs="Times New Roman"/>
          <w:sz w:val="24"/>
          <w:szCs w:val="24"/>
        </w:rPr>
        <w:t>b</w:t>
      </w:r>
      <w:r w:rsidR="0061330A" w:rsidRPr="0061330A">
        <w:rPr>
          <w:rFonts w:ascii="Times New Roman" w:hAnsi="Times New Roman" w:cs="Times New Roman"/>
          <w:sz w:val="24"/>
          <w:szCs w:val="24"/>
        </w:rPr>
        <w:t xml:space="preserve"> on kujutatud katseraku 4 erimahtuvuse sõltuvused erinevatel potentsiaali laotuskiirustel. Sõltuvustest avaldub, et antud katseraku 4 erimahtuvus ei sõltu nii kontrastselt laotuskiirustest kui rak</w:t>
      </w:r>
      <w:r>
        <w:rPr>
          <w:rFonts w:ascii="Times New Roman" w:hAnsi="Times New Roman" w:cs="Times New Roman"/>
          <w:sz w:val="24"/>
          <w:szCs w:val="24"/>
        </w:rPr>
        <w:t>u</w:t>
      </w:r>
      <w:r w:rsidR="0061330A" w:rsidRPr="0061330A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puhul</w:t>
      </w:r>
      <w:r w:rsidR="0061330A" w:rsidRPr="0061330A">
        <w:rPr>
          <w:rFonts w:ascii="Times New Roman" w:hAnsi="Times New Roman" w:cs="Times New Roman"/>
          <w:sz w:val="24"/>
          <w:szCs w:val="24"/>
        </w:rPr>
        <w:t>. Mõlemas rakus oli elektrolüüdina kasutusel ioonvedelik EMITf, sellest tulenevalt on mahtuvuslikud erinevused põhjustatud elektroodidena kasutatud materjali nanostruktuursetest omadustest. Sarnane materjali eripära avaldus ka TEABF</w:t>
      </w:r>
      <w:r w:rsidR="0061330A" w:rsidRPr="0061330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1330A" w:rsidRPr="0061330A">
        <w:rPr>
          <w:rFonts w:ascii="Times New Roman" w:hAnsi="Times New Roman" w:cs="Times New Roman"/>
          <w:sz w:val="24"/>
          <w:szCs w:val="24"/>
        </w:rPr>
        <w:t xml:space="preserve">/PC elektrolüütidega katserakkudes </w:t>
      </w:r>
      <w:r w:rsidR="001E6FCD" w:rsidRPr="001E6FCD">
        <w:rPr>
          <w:rFonts w:ascii="Times New Roman" w:hAnsi="Times New Roman" w:cs="Times New Roman"/>
          <w:sz w:val="24"/>
          <w:szCs w:val="24"/>
        </w:rPr>
        <w:t>1 ja</w:t>
      </w:r>
      <w:r w:rsidR="0061330A" w:rsidRPr="001E6FCD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61330A" w:rsidRDefault="009D2B96" w:rsidP="009D2B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w:lastRenderedPageBreak/>
        <w:drawing>
          <wp:inline distT="0" distB="0" distL="0" distR="0">
            <wp:extent cx="5029200" cy="2399272"/>
            <wp:effectExtent l="19050" t="0" r="0" b="0"/>
            <wp:docPr id="9" name="Picture 8" descr="Erimahtuv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imahtuvu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612" cy="240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B96" w:rsidRDefault="009D2B96" w:rsidP="009D2B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F8D">
        <w:rPr>
          <w:rFonts w:ascii="Times New Roman" w:hAnsi="Times New Roman" w:cs="Times New Roman"/>
          <w:b/>
          <w:sz w:val="24"/>
          <w:szCs w:val="24"/>
        </w:rPr>
        <w:t>Joonis 5</w:t>
      </w:r>
      <w:r w:rsidR="00175F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5F8D">
        <w:rPr>
          <w:rFonts w:ascii="Times New Roman" w:hAnsi="Times New Roman" w:cs="Times New Roman"/>
          <w:sz w:val="24"/>
          <w:szCs w:val="24"/>
        </w:rPr>
        <w:t>Lineaarsete täiturite EMI600 (a) ja EMI800 (b)</w:t>
      </w:r>
      <w:r w:rsidR="00175F8D" w:rsidRPr="00175F8D">
        <w:rPr>
          <w:rFonts w:ascii="Times New Roman" w:hAnsi="Times New Roman" w:cs="Times New Roman"/>
          <w:sz w:val="24"/>
          <w:szCs w:val="24"/>
        </w:rPr>
        <w:t xml:space="preserve"> I, E-kõveratest tuletatud </w:t>
      </w:r>
      <w:r w:rsidR="00175F8D">
        <w:rPr>
          <w:rFonts w:ascii="Times New Roman" w:hAnsi="Times New Roman" w:cs="Times New Roman"/>
          <w:sz w:val="24"/>
          <w:szCs w:val="24"/>
        </w:rPr>
        <w:t>erimahtuvuse ja pinge</w:t>
      </w:r>
      <w:r w:rsidR="00175F8D" w:rsidRPr="00175F8D">
        <w:rPr>
          <w:rFonts w:ascii="Times New Roman" w:hAnsi="Times New Roman" w:cs="Times New Roman"/>
          <w:sz w:val="24"/>
          <w:szCs w:val="24"/>
        </w:rPr>
        <w:t xml:space="preserve"> sõltuvused erinevatel laotuskiirustel</w:t>
      </w:r>
    </w:p>
    <w:p w:rsidR="00175F8D" w:rsidRDefault="00175F8D" w:rsidP="009D2B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E44" w:rsidRPr="00875E44" w:rsidRDefault="00875E44" w:rsidP="00541E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Täiturite efektiivsuse hindamine</w:t>
      </w:r>
    </w:p>
    <w:p w:rsidR="00875E44" w:rsidRDefault="00541E2B" w:rsidP="00541E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Superkondensaatori rakendustes on väga oluline konkreetse süsinikamterjali </w:t>
      </w:r>
      <w:r w:rsidR="0070452E">
        <w:rPr>
          <w:rFonts w:ascii="Times New Roman" w:hAnsi="Times New Roman" w:cs="Times New Roman"/>
          <w:sz w:val="24"/>
          <w:szCs w:val="24"/>
        </w:rPr>
        <w:t xml:space="preserve">elektrilise </w:t>
      </w:r>
      <w:r>
        <w:rPr>
          <w:rFonts w:ascii="Times New Roman" w:hAnsi="Times New Roman" w:cs="Times New Roman"/>
          <w:sz w:val="24"/>
          <w:szCs w:val="24"/>
        </w:rPr>
        <w:t xml:space="preserve">energia salvestusvõime. On teada, et valides sobiva väärtusega laadimisvoolu on võimalik karbiidset päritolu süsinikust valmistatud superkondensaatoritega saavutada kondensaatori </w:t>
      </w:r>
      <w:r w:rsidRPr="001E6FCD">
        <w:rPr>
          <w:rFonts w:ascii="Times New Roman" w:hAnsi="Times New Roman" w:cs="Times New Roman"/>
          <w:sz w:val="24"/>
          <w:szCs w:val="24"/>
        </w:rPr>
        <w:t>täis</w:t>
      </w:r>
      <w:r w:rsidR="001E6FCD" w:rsidRPr="001E6FCD">
        <w:rPr>
          <w:rFonts w:ascii="Times New Roman" w:hAnsi="Times New Roman" w:cs="Times New Roman"/>
          <w:sz w:val="24"/>
          <w:szCs w:val="24"/>
        </w:rPr>
        <w:t>-</w:t>
      </w:r>
      <w:r w:rsidRPr="001E6FCD">
        <w:rPr>
          <w:rFonts w:ascii="Times New Roman" w:hAnsi="Times New Roman" w:cs="Times New Roman"/>
          <w:sz w:val="24"/>
          <w:szCs w:val="24"/>
        </w:rPr>
        <w:t xml:space="preserve"> ja tühjakslaadimisel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52E">
        <w:rPr>
          <w:rFonts w:ascii="Times New Roman" w:hAnsi="Times New Roman" w:cs="Times New Roman"/>
          <w:sz w:val="24"/>
          <w:szCs w:val="24"/>
        </w:rPr>
        <w:t>isegi 98 %-</w:t>
      </w:r>
      <w:r>
        <w:rPr>
          <w:rFonts w:ascii="Times New Roman" w:hAnsi="Times New Roman" w:cs="Times New Roman"/>
          <w:sz w:val="24"/>
          <w:szCs w:val="24"/>
        </w:rPr>
        <w:t xml:space="preserve">list kasutegurit. </w:t>
      </w:r>
      <w:r w:rsidR="0070452E">
        <w:rPr>
          <w:rFonts w:ascii="Times New Roman" w:hAnsi="Times New Roman" w:cs="Times New Roman"/>
          <w:sz w:val="24"/>
          <w:szCs w:val="24"/>
        </w:rPr>
        <w:t xml:space="preserve">Erialakirjanduses on käibel termin </w:t>
      </w:r>
      <w:r w:rsidR="0070452E" w:rsidRPr="0070452E">
        <w:rPr>
          <w:rFonts w:ascii="Times New Roman" w:hAnsi="Times New Roman" w:cs="Times New Roman"/>
          <w:i/>
          <w:sz w:val="24"/>
          <w:szCs w:val="24"/>
        </w:rPr>
        <w:t>Round trip efficiency</w:t>
      </w:r>
      <w:r w:rsidR="0070452E">
        <w:rPr>
          <w:rFonts w:ascii="Times New Roman" w:hAnsi="Times New Roman" w:cs="Times New Roman"/>
          <w:sz w:val="24"/>
          <w:szCs w:val="24"/>
        </w:rPr>
        <w:t xml:space="preserve"> (RTE), mis kirjeldab kondensaatori tühjakslaadimisel vabanevat elektrilist energiat, arvestades samal ajal ka laadimisel sisestatud energia hulka. Sisuliselt on tegemist en</w:t>
      </w:r>
      <w:r w:rsidR="00F6032A">
        <w:rPr>
          <w:rFonts w:ascii="Times New Roman" w:hAnsi="Times New Roman" w:cs="Times New Roman"/>
          <w:sz w:val="24"/>
          <w:szCs w:val="24"/>
        </w:rPr>
        <w:t>e</w:t>
      </w:r>
      <w:r w:rsidR="0070452E">
        <w:rPr>
          <w:rFonts w:ascii="Times New Roman" w:hAnsi="Times New Roman" w:cs="Times New Roman"/>
          <w:sz w:val="24"/>
          <w:szCs w:val="24"/>
        </w:rPr>
        <w:t xml:space="preserve">rgeetilise kasuteguriga ja nagu eespool mainitud võib see </w:t>
      </w:r>
      <w:r w:rsidR="001E6FCD">
        <w:rPr>
          <w:rFonts w:ascii="Times New Roman" w:hAnsi="Times New Roman" w:cs="Times New Roman"/>
          <w:sz w:val="24"/>
          <w:szCs w:val="24"/>
        </w:rPr>
        <w:t>super</w:t>
      </w:r>
      <w:r w:rsidR="0070452E">
        <w:rPr>
          <w:rFonts w:ascii="Times New Roman" w:hAnsi="Times New Roman" w:cs="Times New Roman"/>
          <w:sz w:val="24"/>
          <w:szCs w:val="24"/>
        </w:rPr>
        <w:t xml:space="preserve">kondensaatorite puhul küündida isegi 98 %-ni. </w:t>
      </w:r>
      <w:r w:rsidR="00664F95">
        <w:rPr>
          <w:rFonts w:ascii="Times New Roman" w:hAnsi="Times New Roman" w:cs="Times New Roman"/>
          <w:sz w:val="24"/>
          <w:szCs w:val="24"/>
        </w:rPr>
        <w:t>Antud uuringus määrati kõigi täiturite en</w:t>
      </w:r>
      <w:r w:rsidR="00F6032A">
        <w:rPr>
          <w:rFonts w:ascii="Times New Roman" w:hAnsi="Times New Roman" w:cs="Times New Roman"/>
          <w:sz w:val="24"/>
          <w:szCs w:val="24"/>
        </w:rPr>
        <w:t>e</w:t>
      </w:r>
      <w:r w:rsidR="00664F95">
        <w:rPr>
          <w:rFonts w:ascii="Times New Roman" w:hAnsi="Times New Roman" w:cs="Times New Roman"/>
          <w:sz w:val="24"/>
          <w:szCs w:val="24"/>
        </w:rPr>
        <w:t>rgeetilised kasutegurid ja lisaks arvutati ka nende seadeldiste elektrienergia mehaaniliseks tööks muunadamise efektiivsus</w:t>
      </w:r>
      <w:r w:rsidR="00664F95" w:rsidRPr="001E6FCD">
        <w:rPr>
          <w:rFonts w:ascii="Times New Roman" w:hAnsi="Times New Roman" w:cs="Times New Roman"/>
          <w:sz w:val="24"/>
          <w:szCs w:val="24"/>
        </w:rPr>
        <w:t xml:space="preserve">. </w:t>
      </w:r>
      <w:r w:rsidR="001E6FCD" w:rsidRPr="001E6FCD">
        <w:rPr>
          <w:rFonts w:ascii="Times New Roman" w:hAnsi="Times New Roman" w:cs="Times New Roman"/>
          <w:sz w:val="24"/>
          <w:szCs w:val="24"/>
        </w:rPr>
        <w:t>Gal</w:t>
      </w:r>
      <w:r w:rsidR="00664F95" w:rsidRPr="001E6FCD">
        <w:rPr>
          <w:rFonts w:ascii="Times New Roman" w:hAnsi="Times New Roman" w:cs="Times New Roman"/>
          <w:sz w:val="24"/>
          <w:szCs w:val="24"/>
        </w:rPr>
        <w:t>vanostaatilistest</w:t>
      </w:r>
      <w:r w:rsidR="00664F95">
        <w:rPr>
          <w:rFonts w:ascii="Times New Roman" w:hAnsi="Times New Roman" w:cs="Times New Roman"/>
          <w:sz w:val="24"/>
          <w:szCs w:val="24"/>
        </w:rPr>
        <w:t xml:space="preserve"> mõõtmistest määrati süsinikelektroode sisaldavete süsteemide elektrienergia salvestus</w:t>
      </w:r>
      <w:r w:rsidR="001E6FCD">
        <w:rPr>
          <w:rFonts w:ascii="Times New Roman" w:hAnsi="Times New Roman" w:cs="Times New Roman"/>
          <w:sz w:val="24"/>
          <w:szCs w:val="24"/>
        </w:rPr>
        <w:t>võime, määrates laadimisel</w:t>
      </w:r>
      <w:r w:rsidR="00664F95">
        <w:rPr>
          <w:rFonts w:ascii="Times New Roman" w:hAnsi="Times New Roman" w:cs="Times New Roman"/>
          <w:sz w:val="24"/>
          <w:szCs w:val="24"/>
        </w:rPr>
        <w:t xml:space="preserve"> </w:t>
      </w:r>
      <w:r w:rsidR="00664F95" w:rsidRPr="001E6FCD">
        <w:rPr>
          <w:rFonts w:ascii="Times New Roman" w:hAnsi="Times New Roman" w:cs="Times New Roman"/>
          <w:sz w:val="24"/>
          <w:szCs w:val="24"/>
        </w:rPr>
        <w:t>sise</w:t>
      </w:r>
      <w:r w:rsidR="001E6FCD" w:rsidRPr="001E6FCD">
        <w:rPr>
          <w:rFonts w:ascii="Times New Roman" w:hAnsi="Times New Roman" w:cs="Times New Roman"/>
          <w:sz w:val="24"/>
          <w:szCs w:val="24"/>
        </w:rPr>
        <w:t>s</w:t>
      </w:r>
      <w:r w:rsidR="00664F95" w:rsidRPr="001E6FCD">
        <w:rPr>
          <w:rFonts w:ascii="Times New Roman" w:hAnsi="Times New Roman" w:cs="Times New Roman"/>
          <w:sz w:val="24"/>
          <w:szCs w:val="24"/>
        </w:rPr>
        <w:t>tatud</w:t>
      </w:r>
      <w:r w:rsidR="00664F95">
        <w:rPr>
          <w:rFonts w:ascii="Times New Roman" w:hAnsi="Times New Roman" w:cs="Times New Roman"/>
          <w:sz w:val="24"/>
          <w:szCs w:val="24"/>
        </w:rPr>
        <w:t xml:space="preserve"> energiahulga </w:t>
      </w:r>
      <w:r w:rsidR="00664F95" w:rsidRPr="00875E44">
        <w:rPr>
          <w:rFonts w:ascii="Times New Roman" w:hAnsi="Times New Roman" w:cs="Times New Roman"/>
          <w:i/>
          <w:sz w:val="24"/>
          <w:szCs w:val="24"/>
        </w:rPr>
        <w:t>E</w:t>
      </w:r>
      <w:r w:rsidR="00664F95" w:rsidRPr="00875E44">
        <w:rPr>
          <w:rFonts w:ascii="Times New Roman" w:hAnsi="Times New Roman" w:cs="Times New Roman"/>
          <w:i/>
          <w:sz w:val="24"/>
          <w:szCs w:val="24"/>
          <w:vertAlign w:val="subscript"/>
        </w:rPr>
        <w:t>in</w:t>
      </w:r>
      <w:r w:rsidR="00664F95">
        <w:rPr>
          <w:rFonts w:ascii="Times New Roman" w:hAnsi="Times New Roman" w:cs="Times New Roman"/>
          <w:sz w:val="24"/>
          <w:szCs w:val="24"/>
        </w:rPr>
        <w:t xml:space="preserve"> ja tühjakslaadimisel vabaneva energiahulga </w:t>
      </w:r>
      <w:r w:rsidR="00664F95" w:rsidRPr="00875E44">
        <w:rPr>
          <w:rFonts w:ascii="Times New Roman" w:hAnsi="Times New Roman" w:cs="Times New Roman"/>
          <w:i/>
          <w:sz w:val="24"/>
          <w:szCs w:val="24"/>
        </w:rPr>
        <w:t>E</w:t>
      </w:r>
      <w:r w:rsidR="00664F95" w:rsidRPr="00875E44">
        <w:rPr>
          <w:rFonts w:ascii="Times New Roman" w:hAnsi="Times New Roman" w:cs="Times New Roman"/>
          <w:i/>
          <w:sz w:val="24"/>
          <w:szCs w:val="24"/>
          <w:vertAlign w:val="subscript"/>
        </w:rPr>
        <w:t>out</w:t>
      </w:r>
      <w:r w:rsidR="00664F95">
        <w:rPr>
          <w:rFonts w:ascii="Times New Roman" w:hAnsi="Times New Roman" w:cs="Times New Roman"/>
          <w:sz w:val="24"/>
          <w:szCs w:val="24"/>
        </w:rPr>
        <w:t>.</w:t>
      </w:r>
      <w:r w:rsidR="001528DC">
        <w:rPr>
          <w:rFonts w:ascii="Times New Roman" w:hAnsi="Times New Roman" w:cs="Times New Roman"/>
          <w:sz w:val="24"/>
          <w:szCs w:val="24"/>
        </w:rPr>
        <w:t xml:space="preserve"> Nende kahe suuruse põhjal saab leida </w:t>
      </w:r>
      <w:r w:rsidR="00601797" w:rsidRPr="00601797">
        <w:rPr>
          <w:rFonts w:ascii="Times New Roman" w:hAnsi="Times New Roman" w:cs="Times New Roman"/>
          <w:sz w:val="24"/>
          <w:szCs w:val="24"/>
        </w:rPr>
        <w:t>laadimistsü</w:t>
      </w:r>
      <w:r w:rsidR="001528DC" w:rsidRPr="00601797">
        <w:rPr>
          <w:rFonts w:ascii="Times New Roman" w:hAnsi="Times New Roman" w:cs="Times New Roman"/>
          <w:sz w:val="24"/>
          <w:szCs w:val="24"/>
        </w:rPr>
        <w:t>kli</w:t>
      </w:r>
      <w:r w:rsidR="001528DC">
        <w:rPr>
          <w:rFonts w:ascii="Times New Roman" w:hAnsi="Times New Roman" w:cs="Times New Roman"/>
          <w:sz w:val="24"/>
          <w:szCs w:val="24"/>
        </w:rPr>
        <w:t xml:space="preserve"> käigus esineva energiakao (</w:t>
      </w:r>
      <w:r w:rsidR="001528DC" w:rsidRPr="00875E44">
        <w:rPr>
          <w:rFonts w:ascii="Times New Roman" w:hAnsi="Times New Roman" w:cs="Times New Roman"/>
          <w:i/>
          <w:sz w:val="24"/>
          <w:szCs w:val="24"/>
        </w:rPr>
        <w:t>E</w:t>
      </w:r>
      <w:r w:rsidR="001528DC" w:rsidRPr="00875E44">
        <w:rPr>
          <w:rFonts w:ascii="Times New Roman" w:hAnsi="Times New Roman" w:cs="Times New Roman"/>
          <w:i/>
          <w:sz w:val="24"/>
          <w:szCs w:val="24"/>
          <w:vertAlign w:val="subscript"/>
        </w:rPr>
        <w:t>loss</w:t>
      </w:r>
      <w:r w:rsidR="001528DC" w:rsidRPr="00875E44">
        <w:rPr>
          <w:rFonts w:ascii="Times New Roman" w:hAnsi="Times New Roman" w:cs="Times New Roman"/>
          <w:i/>
          <w:sz w:val="24"/>
          <w:szCs w:val="24"/>
        </w:rPr>
        <w:t>=E</w:t>
      </w:r>
      <w:r w:rsidR="001528DC" w:rsidRPr="00875E44">
        <w:rPr>
          <w:rFonts w:ascii="Times New Roman" w:hAnsi="Times New Roman" w:cs="Times New Roman"/>
          <w:i/>
          <w:sz w:val="24"/>
          <w:szCs w:val="24"/>
          <w:vertAlign w:val="subscript"/>
        </w:rPr>
        <w:t>in</w:t>
      </w:r>
      <w:r w:rsidR="001528DC" w:rsidRPr="00875E44">
        <w:rPr>
          <w:rFonts w:ascii="Times New Roman" w:hAnsi="Times New Roman" w:cs="Times New Roman"/>
          <w:i/>
          <w:sz w:val="24"/>
          <w:szCs w:val="24"/>
        </w:rPr>
        <w:t>-E</w:t>
      </w:r>
      <w:r w:rsidR="001528DC" w:rsidRPr="00875E44">
        <w:rPr>
          <w:rFonts w:ascii="Times New Roman" w:hAnsi="Times New Roman" w:cs="Times New Roman"/>
          <w:i/>
          <w:sz w:val="24"/>
          <w:szCs w:val="24"/>
          <w:vertAlign w:val="subscript"/>
        </w:rPr>
        <w:t>out</w:t>
      </w:r>
      <w:r w:rsidR="001528DC">
        <w:rPr>
          <w:rFonts w:ascii="Times New Roman" w:hAnsi="Times New Roman" w:cs="Times New Roman"/>
          <w:sz w:val="24"/>
          <w:szCs w:val="24"/>
        </w:rPr>
        <w:t>)</w:t>
      </w:r>
      <w:r w:rsidR="00875E44">
        <w:rPr>
          <w:rFonts w:ascii="Times New Roman" w:hAnsi="Times New Roman" w:cs="Times New Roman"/>
          <w:sz w:val="24"/>
          <w:szCs w:val="24"/>
        </w:rPr>
        <w:t xml:space="preserve"> (Tabel 3)</w:t>
      </w:r>
      <w:r w:rsidR="001528DC">
        <w:rPr>
          <w:rFonts w:ascii="Times New Roman" w:hAnsi="Times New Roman" w:cs="Times New Roman"/>
          <w:sz w:val="24"/>
          <w:szCs w:val="24"/>
        </w:rPr>
        <w:t>.</w:t>
      </w:r>
      <w:r w:rsidR="000522EA">
        <w:rPr>
          <w:rFonts w:ascii="Times New Roman" w:hAnsi="Times New Roman" w:cs="Times New Roman"/>
          <w:sz w:val="24"/>
          <w:szCs w:val="24"/>
        </w:rPr>
        <w:t xml:space="preserve"> Täituri elektrienergia mehaaniliseks tööks muundamise efektiivsuse le</w:t>
      </w:r>
      <w:r w:rsidR="00992FCF">
        <w:rPr>
          <w:rFonts w:ascii="Times New Roman" w:hAnsi="Times New Roman" w:cs="Times New Roman"/>
          <w:sz w:val="24"/>
          <w:szCs w:val="24"/>
        </w:rPr>
        <w:t xml:space="preserve">idmisel </w:t>
      </w:r>
      <w:r w:rsidR="00992FCF" w:rsidRPr="00601797">
        <w:rPr>
          <w:rFonts w:ascii="Times New Roman" w:hAnsi="Times New Roman" w:cs="Times New Roman"/>
          <w:sz w:val="24"/>
          <w:szCs w:val="24"/>
        </w:rPr>
        <w:t>võetakse arvesse elektroode</w:t>
      </w:r>
      <w:r w:rsidR="000522EA" w:rsidRPr="00601797">
        <w:rPr>
          <w:rFonts w:ascii="Times New Roman" w:hAnsi="Times New Roman" w:cs="Times New Roman"/>
          <w:sz w:val="24"/>
          <w:szCs w:val="24"/>
        </w:rPr>
        <w:t xml:space="preserve"> kokkusuruva vedru jõud (F</w:t>
      </w:r>
      <w:r w:rsidR="000522EA">
        <w:rPr>
          <w:rFonts w:ascii="Times New Roman" w:hAnsi="Times New Roman" w:cs="Times New Roman"/>
          <w:sz w:val="24"/>
          <w:szCs w:val="24"/>
        </w:rPr>
        <w:t>) ja</w:t>
      </w:r>
      <w:r w:rsidR="00992FCF">
        <w:rPr>
          <w:rFonts w:ascii="Times New Roman" w:hAnsi="Times New Roman" w:cs="Times New Roman"/>
          <w:sz w:val="24"/>
          <w:szCs w:val="24"/>
        </w:rPr>
        <w:t xml:space="preserve"> kasutatakse</w:t>
      </w:r>
      <w:r w:rsidR="000522EA">
        <w:rPr>
          <w:rFonts w:ascii="Times New Roman" w:hAnsi="Times New Roman" w:cs="Times New Roman"/>
          <w:sz w:val="24"/>
          <w:szCs w:val="24"/>
        </w:rPr>
        <w:t xml:space="preserve"> galavanostaatiliste mõõtmistega samaaegselt registreeritud elektroodide nih</w:t>
      </w:r>
      <w:r w:rsidR="00992FCF">
        <w:rPr>
          <w:rFonts w:ascii="Times New Roman" w:hAnsi="Times New Roman" w:cs="Times New Roman"/>
          <w:sz w:val="24"/>
          <w:szCs w:val="24"/>
        </w:rPr>
        <w:t>k</w:t>
      </w:r>
      <w:r w:rsidR="000522EA">
        <w:rPr>
          <w:rFonts w:ascii="Times New Roman" w:hAnsi="Times New Roman" w:cs="Times New Roman"/>
          <w:sz w:val="24"/>
          <w:szCs w:val="24"/>
        </w:rPr>
        <w:t>e (s)</w:t>
      </w:r>
      <w:r w:rsidR="00992FCF">
        <w:rPr>
          <w:rFonts w:ascii="Times New Roman" w:hAnsi="Times New Roman" w:cs="Times New Roman"/>
          <w:sz w:val="24"/>
          <w:szCs w:val="24"/>
        </w:rPr>
        <w:t xml:space="preserve"> väärtusi</w:t>
      </w:r>
      <w:r w:rsidR="000522EA">
        <w:rPr>
          <w:rFonts w:ascii="Times New Roman" w:hAnsi="Times New Roman" w:cs="Times New Roman"/>
          <w:sz w:val="24"/>
          <w:szCs w:val="24"/>
        </w:rPr>
        <w:t>. Arvestades, et selliste seadmete tühjakslaadimisel vabaneb suur hulk elektrienergiat, mida võib kergesti kasutada samalaadse täituri taaskordseks laadimiseks, siis peeti antud töös otstarbekaks arvutada efekt</w:t>
      </w:r>
      <w:r w:rsidR="00970154">
        <w:rPr>
          <w:rFonts w:ascii="Times New Roman" w:hAnsi="Times New Roman" w:cs="Times New Roman"/>
          <w:sz w:val="24"/>
          <w:szCs w:val="24"/>
        </w:rPr>
        <w:t>iivusi kahel viisil:</w:t>
      </w:r>
    </w:p>
    <w:p w:rsidR="00970154" w:rsidRDefault="00970154" w:rsidP="00970154">
      <w:pPr>
        <w:spacing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m:rPr>
            <m:sty m:val="p"/>
          </m:rPr>
          <w:rPr>
            <w:rFonts w:ascii="Cambria Math" w:hAnsi="Cambria Math"/>
          </w:rPr>
          <m:t>η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in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F×s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in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 xml:space="preserve">×100%                  </m:t>
        </m:r>
      </m:oMath>
      <w:r>
        <w:rPr>
          <w:rFonts w:ascii="Times New Roman" w:eastAsiaTheme="minorEastAsia" w:hAnsi="Times New Roman" w:cs="Times New Roman"/>
        </w:rPr>
        <w:t>(1)</w:t>
      </w:r>
    </w:p>
    <w:p w:rsidR="00970154" w:rsidRDefault="00970154" w:rsidP="00970154">
      <w:pPr>
        <w:spacing w:line="240" w:lineRule="auto"/>
        <w:jc w:val="center"/>
        <w:rPr>
          <w:rFonts w:ascii="Times New Roman" w:eastAsiaTheme="minorEastAsia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loss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F×s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in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out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×100%        (2)</m:t>
          </m:r>
        </m:oMath>
      </m:oMathPara>
    </w:p>
    <w:p w:rsidR="00AF1F57" w:rsidRDefault="00970154" w:rsidP="00AF1F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η(</w:t>
      </w:r>
      <w:r w:rsidRPr="00970154">
        <w:rPr>
          <w:rFonts w:ascii="Times New Roman" w:hAnsi="Times New Roman" w:cs="Times New Roman"/>
          <w:i/>
          <w:sz w:val="24"/>
          <w:szCs w:val="24"/>
        </w:rPr>
        <w:t>E</w:t>
      </w:r>
      <w:r w:rsidRPr="00970154">
        <w:rPr>
          <w:rFonts w:ascii="Times New Roman" w:hAnsi="Times New Roman" w:cs="Times New Roman"/>
          <w:i/>
          <w:sz w:val="24"/>
          <w:szCs w:val="24"/>
          <w:vertAlign w:val="subscript"/>
        </w:rPr>
        <w:t>in</w:t>
      </w:r>
      <w:r>
        <w:rPr>
          <w:rFonts w:ascii="Times New Roman" w:hAnsi="Times New Roman" w:cs="Times New Roman"/>
          <w:sz w:val="24"/>
          <w:szCs w:val="24"/>
        </w:rPr>
        <w:t>) kirjeldab täit</w:t>
      </w:r>
      <w:r w:rsidR="00992FCF">
        <w:rPr>
          <w:rFonts w:ascii="Times New Roman" w:hAnsi="Times New Roman" w:cs="Times New Roman"/>
          <w:sz w:val="24"/>
          <w:szCs w:val="24"/>
        </w:rPr>
        <w:t>uri efektiivsust juhul,</w:t>
      </w:r>
      <w:r w:rsidR="00EE1C9F">
        <w:rPr>
          <w:rFonts w:ascii="Times New Roman" w:hAnsi="Times New Roman" w:cs="Times New Roman"/>
          <w:sz w:val="24"/>
          <w:szCs w:val="24"/>
        </w:rPr>
        <w:t xml:space="preserve"> kui kondensaatorilaadse täituri tühjenemisel</w:t>
      </w:r>
      <w:r>
        <w:rPr>
          <w:rFonts w:ascii="Times New Roman" w:hAnsi="Times New Roman" w:cs="Times New Roman"/>
          <w:sz w:val="24"/>
          <w:szCs w:val="24"/>
        </w:rPr>
        <w:t xml:space="preserve"> vabanevat </w:t>
      </w:r>
      <w:r w:rsidRPr="00EE1C9F">
        <w:rPr>
          <w:rFonts w:ascii="Times New Roman" w:hAnsi="Times New Roman" w:cs="Times New Roman"/>
          <w:sz w:val="24"/>
          <w:szCs w:val="24"/>
        </w:rPr>
        <w:t>energiat ar</w:t>
      </w:r>
      <w:r w:rsidR="00EE1C9F" w:rsidRPr="00EE1C9F">
        <w:rPr>
          <w:rFonts w:ascii="Times New Roman" w:hAnsi="Times New Roman" w:cs="Times New Roman"/>
          <w:sz w:val="24"/>
          <w:szCs w:val="24"/>
        </w:rPr>
        <w:t>v</w:t>
      </w:r>
      <w:r w:rsidRPr="00EE1C9F">
        <w:rPr>
          <w:rFonts w:ascii="Times New Roman" w:hAnsi="Times New Roman" w:cs="Times New Roman"/>
          <w:sz w:val="24"/>
          <w:szCs w:val="24"/>
        </w:rPr>
        <w:t>esse ei võeta</w:t>
      </w:r>
      <w:r w:rsidR="00EE1C9F" w:rsidRPr="00EE1C9F">
        <w:rPr>
          <w:rFonts w:ascii="Times New Roman" w:hAnsi="Times New Roman" w:cs="Times New Roman"/>
          <w:sz w:val="24"/>
          <w:szCs w:val="24"/>
        </w:rPr>
        <w:t>.</w:t>
      </w:r>
      <w:r w:rsidR="00EE1C9F">
        <w:rPr>
          <w:rFonts w:ascii="Times New Roman" w:hAnsi="Times New Roman" w:cs="Times New Roman"/>
          <w:sz w:val="24"/>
          <w:szCs w:val="24"/>
        </w:rPr>
        <w:t xml:space="preserve"> Valem 2 kirjeldab juhtu, kus täituri efektiivsuse hindamisel võetakse arvesse tühjenemisel vabanev energia.</w:t>
      </w:r>
      <w:r w:rsidR="00D705BC">
        <w:rPr>
          <w:rFonts w:ascii="Times New Roman" w:hAnsi="Times New Roman" w:cs="Times New Roman"/>
          <w:sz w:val="24"/>
          <w:szCs w:val="24"/>
        </w:rPr>
        <w:t xml:space="preserve"> Kirjeldatud viisil arvutatud kasutegurid on esitatud joonisel 6. Seadme võimalike rakenduste seisukohalt</w:t>
      </w:r>
      <w:r w:rsidR="00875E44" w:rsidRPr="00EE1C9F">
        <w:rPr>
          <w:rFonts w:ascii="Times New Roman" w:hAnsi="Times New Roman" w:cs="Times New Roman"/>
          <w:sz w:val="24"/>
          <w:szCs w:val="24"/>
        </w:rPr>
        <w:t xml:space="preserve"> on oluline nii liigutuse</w:t>
      </w:r>
      <w:r w:rsidR="00875E44" w:rsidRPr="00875E44">
        <w:rPr>
          <w:rFonts w:ascii="Times New Roman" w:hAnsi="Times New Roman" w:cs="Times New Roman"/>
          <w:sz w:val="24"/>
          <w:szCs w:val="24"/>
        </w:rPr>
        <w:t xml:space="preserve"> kiirus kui kasutegur (RTE).</w:t>
      </w:r>
    </w:p>
    <w:p w:rsidR="00AF1F57" w:rsidRDefault="00AF1F57" w:rsidP="00AF1F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E44">
        <w:rPr>
          <w:rFonts w:ascii="Times New Roman" w:hAnsi="Times New Roman" w:cs="Times New Roman"/>
          <w:b/>
          <w:sz w:val="24"/>
          <w:szCs w:val="24"/>
        </w:rPr>
        <w:lastRenderedPageBreak/>
        <w:t>Tabel 3.</w:t>
      </w:r>
      <w:r>
        <w:rPr>
          <w:rFonts w:ascii="Times New Roman" w:hAnsi="Times New Roman" w:cs="Times New Roman"/>
          <w:sz w:val="24"/>
          <w:szCs w:val="24"/>
        </w:rPr>
        <w:t xml:space="preserve"> Galvanostaatilistel mõõtmistel määratud täiturite energeetilised parameetrid</w:t>
      </w:r>
      <w:r w:rsidR="00F6032A">
        <w:rPr>
          <w:rFonts w:ascii="Times New Roman" w:hAnsi="Times New Roman" w:cs="Times New Roman"/>
          <w:sz w:val="24"/>
          <w:szCs w:val="24"/>
        </w:rPr>
        <w:t xml:space="preserve"> ja</w:t>
      </w:r>
      <w:r>
        <w:rPr>
          <w:rFonts w:ascii="Times New Roman" w:hAnsi="Times New Roman" w:cs="Times New Roman"/>
          <w:sz w:val="24"/>
          <w:szCs w:val="24"/>
        </w:rPr>
        <w:t xml:space="preserve"> laadimistsükli jooksul registreeritud nihke väärtused.</w:t>
      </w:r>
    </w:p>
    <w:tbl>
      <w:tblPr>
        <w:tblW w:w="0" w:type="auto"/>
        <w:jc w:val="center"/>
        <w:tblInd w:w="-325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386"/>
        <w:gridCol w:w="654"/>
        <w:gridCol w:w="654"/>
        <w:gridCol w:w="630"/>
        <w:gridCol w:w="1141"/>
        <w:gridCol w:w="654"/>
        <w:gridCol w:w="654"/>
        <w:gridCol w:w="630"/>
        <w:gridCol w:w="1141"/>
      </w:tblGrid>
      <w:tr w:rsidR="00AF1F57" w:rsidRPr="001528DC" w:rsidTr="00AF1F57">
        <w:trPr>
          <w:jc w:val="center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Laadimis-vool</w:t>
            </w:r>
            <w:proofErr w:type="spellEnd"/>
          </w:p>
        </w:tc>
        <w:tc>
          <w:tcPr>
            <w:tcW w:w="3079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70 </w:t>
            </w:r>
            <w:proofErr w:type="spellStart"/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proofErr w:type="spellEnd"/>
          </w:p>
        </w:tc>
        <w:tc>
          <w:tcPr>
            <w:tcW w:w="3079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300 </w:t>
            </w:r>
            <w:proofErr w:type="spellStart"/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proofErr w:type="spellEnd"/>
          </w:p>
        </w:tc>
      </w:tr>
      <w:tr w:rsidR="00AF1F57" w:rsidRPr="001528DC" w:rsidTr="00AF1F57">
        <w:trPr>
          <w:jc w:val="center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in</w:t>
            </w:r>
            <w:proofErr w:type="spellEnd"/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out</w:t>
            </w:r>
            <w:proofErr w:type="spellEnd"/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loss</w:t>
            </w:r>
            <w:proofErr w:type="spellEnd"/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nihe</w:t>
            </w:r>
            <w:proofErr w:type="spellEnd"/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D"/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in</w:t>
            </w:r>
            <w:proofErr w:type="spellEnd"/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out</w:t>
            </w:r>
            <w:proofErr w:type="spellEnd"/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loss</w:t>
            </w:r>
            <w:proofErr w:type="spellEnd"/>
            <w:r w:rsidRPr="001528D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nihe</w:t>
            </w:r>
            <w:proofErr w:type="spellEnd"/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D"/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F1F57" w:rsidRPr="001528DC" w:rsidTr="00AF1F57">
        <w:trPr>
          <w:jc w:val="center"/>
        </w:trPr>
        <w:tc>
          <w:tcPr>
            <w:tcW w:w="1386" w:type="dxa"/>
            <w:tcBorders>
              <w:top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11.9</w:t>
            </w:r>
          </w:p>
        </w:tc>
        <w:tc>
          <w:tcPr>
            <w:tcW w:w="630" w:type="dxa"/>
            <w:tcBorders>
              <w:top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1141" w:type="dxa"/>
            <w:tcBorders>
              <w:top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</w:t>
            </w:r>
          </w:p>
        </w:tc>
        <w:tc>
          <w:tcPr>
            <w:tcW w:w="630" w:type="dxa"/>
            <w:tcBorders>
              <w:top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</w:t>
            </w:r>
          </w:p>
        </w:tc>
        <w:tc>
          <w:tcPr>
            <w:tcW w:w="1141" w:type="dxa"/>
            <w:tcBorders>
              <w:top w:val="single" w:sz="4" w:space="0" w:color="000000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</w:tr>
      <w:tr w:rsidR="00AF1F57" w:rsidRPr="001528DC" w:rsidTr="00AF1F57">
        <w:trPr>
          <w:jc w:val="center"/>
        </w:trPr>
        <w:tc>
          <w:tcPr>
            <w:tcW w:w="1386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54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54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30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1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</w:t>
            </w:r>
          </w:p>
        </w:tc>
        <w:tc>
          <w:tcPr>
            <w:tcW w:w="654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18.9</w:t>
            </w:r>
          </w:p>
        </w:tc>
        <w:tc>
          <w:tcPr>
            <w:tcW w:w="654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</w:t>
            </w:r>
          </w:p>
        </w:tc>
        <w:tc>
          <w:tcPr>
            <w:tcW w:w="630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</w:t>
            </w:r>
          </w:p>
        </w:tc>
        <w:tc>
          <w:tcPr>
            <w:tcW w:w="1141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</w:tr>
      <w:tr w:rsidR="00AF1F57" w:rsidRPr="001528DC" w:rsidTr="00AF1F57">
        <w:trPr>
          <w:jc w:val="center"/>
        </w:trPr>
        <w:tc>
          <w:tcPr>
            <w:tcW w:w="1386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54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18.9</w:t>
            </w:r>
          </w:p>
        </w:tc>
        <w:tc>
          <w:tcPr>
            <w:tcW w:w="654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</w:t>
            </w:r>
          </w:p>
        </w:tc>
        <w:tc>
          <w:tcPr>
            <w:tcW w:w="630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</w:t>
            </w:r>
          </w:p>
        </w:tc>
        <w:tc>
          <w:tcPr>
            <w:tcW w:w="1141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</w:p>
        </w:tc>
        <w:tc>
          <w:tcPr>
            <w:tcW w:w="654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</w:t>
            </w:r>
          </w:p>
        </w:tc>
        <w:tc>
          <w:tcPr>
            <w:tcW w:w="654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630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  <w:tc>
          <w:tcPr>
            <w:tcW w:w="1141" w:type="dxa"/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</w:tr>
      <w:tr w:rsidR="00AF1F57" w:rsidRPr="001528DC" w:rsidTr="00AF1F57">
        <w:trPr>
          <w:jc w:val="center"/>
        </w:trPr>
        <w:tc>
          <w:tcPr>
            <w:tcW w:w="1386" w:type="dxa"/>
            <w:tcBorders>
              <w:bottom w:val="nil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</w:t>
            </w: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54" w:type="dxa"/>
            <w:tcBorders>
              <w:bottom w:val="nil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54" w:type="dxa"/>
            <w:tcBorders>
              <w:bottom w:val="nil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19.8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1141" w:type="dxa"/>
            <w:tcBorders>
              <w:bottom w:val="nil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</w:t>
            </w:r>
          </w:p>
        </w:tc>
        <w:tc>
          <w:tcPr>
            <w:tcW w:w="654" w:type="dxa"/>
            <w:tcBorders>
              <w:bottom w:val="nil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54" w:type="dxa"/>
            <w:tcBorders>
              <w:bottom w:val="nil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10.8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</w:t>
            </w:r>
          </w:p>
        </w:tc>
        <w:tc>
          <w:tcPr>
            <w:tcW w:w="1141" w:type="dxa"/>
            <w:tcBorders>
              <w:bottom w:val="nil"/>
            </w:tcBorders>
            <w:vAlign w:val="center"/>
          </w:tcPr>
          <w:p w:rsidR="00AF1F57" w:rsidRPr="001528DC" w:rsidRDefault="00AF1F57" w:rsidP="00AF1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</w:t>
            </w:r>
          </w:p>
        </w:tc>
      </w:tr>
    </w:tbl>
    <w:p w:rsidR="00175F8D" w:rsidRDefault="00875E44" w:rsidP="00541E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E44">
        <w:rPr>
          <w:rFonts w:ascii="Times New Roman" w:hAnsi="Times New Roman" w:cs="Times New Roman"/>
          <w:sz w:val="24"/>
          <w:szCs w:val="24"/>
        </w:rPr>
        <w:t>Katserakk nr. 2 mõõ</w:t>
      </w:r>
      <w:r w:rsidR="0098490D">
        <w:rPr>
          <w:rFonts w:ascii="Times New Roman" w:hAnsi="Times New Roman" w:cs="Times New Roman"/>
          <w:sz w:val="24"/>
          <w:szCs w:val="24"/>
        </w:rPr>
        <w:t>tmisel saadud tulemused on tähelepanuväärsed, sest</w:t>
      </w:r>
      <w:r w:rsidRPr="00875E44">
        <w:rPr>
          <w:rFonts w:ascii="Times New Roman" w:hAnsi="Times New Roman" w:cs="Times New Roman"/>
          <w:sz w:val="24"/>
          <w:szCs w:val="24"/>
        </w:rPr>
        <w:t xml:space="preserve"> 70 mA ja 300</w:t>
      </w:r>
      <w:r w:rsidR="0098490D">
        <w:rPr>
          <w:rFonts w:ascii="Times New Roman" w:hAnsi="Times New Roman" w:cs="Times New Roman"/>
          <w:sz w:val="24"/>
          <w:szCs w:val="24"/>
        </w:rPr>
        <w:t xml:space="preserve"> </w:t>
      </w:r>
      <w:r w:rsidRPr="00875E44">
        <w:rPr>
          <w:rFonts w:ascii="Times New Roman" w:hAnsi="Times New Roman" w:cs="Times New Roman"/>
          <w:sz w:val="24"/>
          <w:szCs w:val="24"/>
        </w:rPr>
        <w:t>mA laadimis- ja tühjenemistsüklist arvutatud kasutegurid</w:t>
      </w:r>
      <w:r w:rsidR="00992FCF">
        <w:rPr>
          <w:rFonts w:ascii="Times New Roman" w:hAnsi="Times New Roman" w:cs="Times New Roman"/>
          <w:sz w:val="24"/>
          <w:szCs w:val="24"/>
        </w:rPr>
        <w:t xml:space="preserve"> (RTE)</w:t>
      </w:r>
      <w:r w:rsidRPr="00875E44">
        <w:rPr>
          <w:rFonts w:ascii="Times New Roman" w:hAnsi="Times New Roman" w:cs="Times New Roman"/>
          <w:sz w:val="24"/>
          <w:szCs w:val="24"/>
        </w:rPr>
        <w:t xml:space="preserve"> erinesid ainult 5% võrra</w:t>
      </w:r>
      <w:r w:rsidR="0098490D">
        <w:rPr>
          <w:rFonts w:ascii="Times New Roman" w:hAnsi="Times New Roman" w:cs="Times New Roman"/>
          <w:sz w:val="24"/>
          <w:szCs w:val="24"/>
        </w:rPr>
        <w:t>,</w:t>
      </w:r>
      <w:r w:rsidR="00601797">
        <w:rPr>
          <w:rFonts w:ascii="Times New Roman" w:hAnsi="Times New Roman" w:cs="Times New Roman"/>
          <w:sz w:val="24"/>
          <w:szCs w:val="24"/>
        </w:rPr>
        <w:t xml:space="preserve"> samas aga</w:t>
      </w:r>
      <w:r w:rsidR="00992FCF">
        <w:rPr>
          <w:rFonts w:ascii="Times New Roman" w:hAnsi="Times New Roman" w:cs="Times New Roman"/>
          <w:sz w:val="24"/>
          <w:szCs w:val="24"/>
        </w:rPr>
        <w:t xml:space="preserve"> </w:t>
      </w:r>
      <w:r w:rsidR="00992FCF" w:rsidRPr="00992FCF">
        <w:rPr>
          <w:rFonts w:ascii="Times New Roman" w:hAnsi="Times New Roman" w:cs="Times New Roman"/>
          <w:i/>
          <w:sz w:val="24"/>
          <w:szCs w:val="24"/>
        </w:rPr>
        <w:t>E</w:t>
      </w:r>
      <w:r w:rsidR="00992FCF" w:rsidRPr="00992FCF">
        <w:rPr>
          <w:rFonts w:ascii="Times New Roman" w:hAnsi="Times New Roman" w:cs="Times New Roman"/>
          <w:i/>
          <w:sz w:val="24"/>
          <w:szCs w:val="24"/>
          <w:vertAlign w:val="subscript"/>
        </w:rPr>
        <w:t>in</w:t>
      </w:r>
      <w:r w:rsidR="00992FCF">
        <w:rPr>
          <w:rFonts w:ascii="Times New Roman" w:hAnsi="Times New Roman" w:cs="Times New Roman"/>
          <w:sz w:val="24"/>
          <w:szCs w:val="24"/>
        </w:rPr>
        <w:t xml:space="preserve"> väärtused</w:t>
      </w:r>
      <w:r w:rsidR="00D705BC">
        <w:rPr>
          <w:rFonts w:ascii="Times New Roman" w:hAnsi="Times New Roman" w:cs="Times New Roman"/>
          <w:sz w:val="24"/>
          <w:szCs w:val="24"/>
        </w:rPr>
        <w:t xml:space="preserve"> </w:t>
      </w:r>
      <w:r w:rsidR="00601797" w:rsidRPr="00601797">
        <w:rPr>
          <w:rFonts w:ascii="Times New Roman" w:hAnsi="Times New Roman" w:cs="Times New Roman"/>
          <w:sz w:val="24"/>
          <w:szCs w:val="24"/>
        </w:rPr>
        <w:t xml:space="preserve">erinesid </w:t>
      </w:r>
      <w:r w:rsidR="0098490D" w:rsidRPr="00601797">
        <w:rPr>
          <w:rFonts w:ascii="Times New Roman" w:hAnsi="Times New Roman" w:cs="Times New Roman"/>
          <w:sz w:val="24"/>
          <w:szCs w:val="24"/>
        </w:rPr>
        <w:t xml:space="preserve">märgatavalt </w:t>
      </w:r>
      <w:r w:rsidR="00D705BC" w:rsidRPr="00601797">
        <w:rPr>
          <w:rFonts w:ascii="Times New Roman" w:hAnsi="Times New Roman" w:cs="Times New Roman"/>
          <w:sz w:val="24"/>
          <w:szCs w:val="24"/>
        </w:rPr>
        <w:t>(</w:t>
      </w:r>
      <w:r w:rsidR="00D705BC">
        <w:rPr>
          <w:rFonts w:ascii="Times New Roman" w:hAnsi="Times New Roman" w:cs="Times New Roman"/>
          <w:sz w:val="24"/>
          <w:szCs w:val="24"/>
        </w:rPr>
        <w:t>Tabel 3)</w:t>
      </w:r>
      <w:r w:rsidRPr="00875E44">
        <w:rPr>
          <w:rFonts w:ascii="Times New Roman" w:hAnsi="Times New Roman" w:cs="Times New Roman"/>
          <w:sz w:val="24"/>
          <w:szCs w:val="24"/>
        </w:rPr>
        <w:t>. Teistel uu</w:t>
      </w:r>
      <w:r w:rsidR="00992FCF">
        <w:rPr>
          <w:rFonts w:ascii="Times New Roman" w:hAnsi="Times New Roman" w:cs="Times New Roman"/>
          <w:sz w:val="24"/>
          <w:szCs w:val="24"/>
        </w:rPr>
        <w:t>ritud süsteemidel oli RTE</w:t>
      </w:r>
      <w:r w:rsidRPr="00875E44">
        <w:rPr>
          <w:rFonts w:ascii="Times New Roman" w:hAnsi="Times New Roman" w:cs="Times New Roman"/>
          <w:sz w:val="24"/>
          <w:szCs w:val="24"/>
        </w:rPr>
        <w:t xml:space="preserve"> erinevus voolu väärtustel 300 mA ja 70 mA üle 30%. </w:t>
      </w:r>
      <w:r w:rsidRPr="00601797">
        <w:rPr>
          <w:rFonts w:ascii="Times New Roman" w:hAnsi="Times New Roman" w:cs="Times New Roman"/>
          <w:sz w:val="24"/>
          <w:szCs w:val="24"/>
        </w:rPr>
        <w:t>Huvipakkuva</w:t>
      </w:r>
      <w:r w:rsidR="00992FCF" w:rsidRPr="00601797">
        <w:rPr>
          <w:rFonts w:ascii="Times New Roman" w:hAnsi="Times New Roman" w:cs="Times New Roman"/>
          <w:sz w:val="24"/>
          <w:szCs w:val="24"/>
        </w:rPr>
        <w:t>na tuleks veel lisada,</w:t>
      </w:r>
      <w:r w:rsidR="00601797" w:rsidRPr="00601797">
        <w:rPr>
          <w:rFonts w:ascii="Times New Roman" w:hAnsi="Times New Roman" w:cs="Times New Roman"/>
          <w:sz w:val="24"/>
          <w:szCs w:val="24"/>
        </w:rPr>
        <w:t xml:space="preserve"> et</w:t>
      </w:r>
      <w:r w:rsidR="00992FCF" w:rsidRPr="00601797">
        <w:rPr>
          <w:rFonts w:ascii="Times New Roman" w:hAnsi="Times New Roman" w:cs="Times New Roman"/>
          <w:sz w:val="24"/>
          <w:szCs w:val="24"/>
        </w:rPr>
        <w:t xml:space="preserve"> kasuteg</w:t>
      </w:r>
      <w:r w:rsidR="00601797" w:rsidRPr="00601797">
        <w:rPr>
          <w:rFonts w:ascii="Times New Roman" w:hAnsi="Times New Roman" w:cs="Times New Roman"/>
          <w:sz w:val="24"/>
          <w:szCs w:val="24"/>
        </w:rPr>
        <w:t>uri väärtused sõltusid</w:t>
      </w:r>
      <w:r w:rsidRPr="00601797">
        <w:rPr>
          <w:rFonts w:ascii="Times New Roman" w:hAnsi="Times New Roman" w:cs="Times New Roman"/>
          <w:sz w:val="24"/>
          <w:szCs w:val="24"/>
        </w:rPr>
        <w:t xml:space="preserve"> laadimisvooludest. 300</w:t>
      </w:r>
      <w:r w:rsidRPr="00875E44">
        <w:rPr>
          <w:rFonts w:ascii="Times New Roman" w:hAnsi="Times New Roman" w:cs="Times New Roman"/>
          <w:sz w:val="24"/>
          <w:szCs w:val="24"/>
        </w:rPr>
        <w:t xml:space="preserve"> mA puhul on täheldatav katserakkude RTE-väärtuste vähenemine reas 2, 1, 4, 3. Vastukaaluks paigutuvad neli uuritud süsteemi 70 mA vooluväärtusel leitud kasutegurite põhjal kahte sarnaste RTE väärtustega gruppi. See</w:t>
      </w:r>
      <w:r w:rsidR="00601797">
        <w:rPr>
          <w:rFonts w:ascii="Times New Roman" w:hAnsi="Times New Roman" w:cs="Times New Roman"/>
          <w:sz w:val="24"/>
          <w:szCs w:val="24"/>
        </w:rPr>
        <w:t>juures tuleb märkida, et lähedast</w:t>
      </w:r>
      <w:r w:rsidRPr="00875E44">
        <w:rPr>
          <w:rFonts w:ascii="Times New Roman" w:hAnsi="Times New Roman" w:cs="Times New Roman"/>
          <w:sz w:val="24"/>
          <w:szCs w:val="24"/>
        </w:rPr>
        <w:t xml:space="preserve"> kasutegurit omavad süsteemid</w:t>
      </w:r>
      <w:r w:rsidR="00992FCF">
        <w:rPr>
          <w:rFonts w:ascii="Times New Roman" w:hAnsi="Times New Roman" w:cs="Times New Roman"/>
          <w:sz w:val="24"/>
          <w:szCs w:val="24"/>
        </w:rPr>
        <w:t xml:space="preserve"> 1 ja 4, ehk siis T</w:t>
      </w:r>
      <w:r w:rsidR="00074F6B">
        <w:rPr>
          <w:rFonts w:ascii="Times New Roman" w:hAnsi="Times New Roman" w:cs="Times New Roman"/>
          <w:sz w:val="24"/>
          <w:szCs w:val="24"/>
        </w:rPr>
        <w:t xml:space="preserve">EA600 ja </w:t>
      </w:r>
      <w:r w:rsidR="00992FCF">
        <w:rPr>
          <w:rFonts w:ascii="Times New Roman" w:hAnsi="Times New Roman" w:cs="Times New Roman"/>
          <w:sz w:val="24"/>
          <w:szCs w:val="24"/>
        </w:rPr>
        <w:t>EMI800</w:t>
      </w:r>
      <w:r w:rsidRPr="00875E44">
        <w:rPr>
          <w:rFonts w:ascii="Times New Roman" w:hAnsi="Times New Roman" w:cs="Times New Roman"/>
          <w:sz w:val="24"/>
          <w:szCs w:val="24"/>
        </w:rPr>
        <w:t>. Teise sarnase kasute</w:t>
      </w:r>
      <w:r w:rsidR="00992FCF">
        <w:rPr>
          <w:rFonts w:ascii="Times New Roman" w:hAnsi="Times New Roman" w:cs="Times New Roman"/>
          <w:sz w:val="24"/>
          <w:szCs w:val="24"/>
        </w:rPr>
        <w:t>guriga paari moodustavad</w:t>
      </w:r>
      <w:r w:rsidRPr="00875E44">
        <w:rPr>
          <w:rFonts w:ascii="Times New Roman" w:hAnsi="Times New Roman" w:cs="Times New Roman"/>
          <w:sz w:val="24"/>
          <w:szCs w:val="24"/>
        </w:rPr>
        <w:t xml:space="preserve"> süsteem</w:t>
      </w:r>
      <w:r w:rsidR="00992FCF">
        <w:rPr>
          <w:rFonts w:ascii="Times New Roman" w:hAnsi="Times New Roman" w:cs="Times New Roman"/>
          <w:sz w:val="24"/>
          <w:szCs w:val="24"/>
        </w:rPr>
        <w:t>id 2 ja</w:t>
      </w:r>
      <w:r w:rsidRPr="00875E44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1528DC" w:rsidRDefault="00A75E91" w:rsidP="00A75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E91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3857625" cy="1847850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8490D" w:rsidRDefault="0098490D" w:rsidP="00A75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90D">
        <w:rPr>
          <w:rFonts w:ascii="Times New Roman" w:hAnsi="Times New Roman" w:cs="Times New Roman"/>
          <w:b/>
          <w:sz w:val="24"/>
          <w:szCs w:val="24"/>
        </w:rPr>
        <w:t>Joonis 6.</w:t>
      </w:r>
      <w:r>
        <w:rPr>
          <w:rFonts w:ascii="Times New Roman" w:hAnsi="Times New Roman" w:cs="Times New Roman"/>
          <w:sz w:val="24"/>
          <w:szCs w:val="24"/>
        </w:rPr>
        <w:t xml:space="preserve"> Täiturite efektiivsused elektrienergia muundamisel mehaaniliseks tööks.</w:t>
      </w:r>
    </w:p>
    <w:p w:rsidR="00255005" w:rsidRDefault="00255005" w:rsidP="00A75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4410" w:rsidRDefault="00B94410" w:rsidP="002550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10">
        <w:rPr>
          <w:rFonts w:ascii="Times New Roman" w:hAnsi="Times New Roman" w:cs="Times New Roman"/>
          <w:b/>
          <w:sz w:val="24"/>
          <w:szCs w:val="24"/>
        </w:rPr>
        <w:t>KASUTATUD KIRJANDUS</w:t>
      </w:r>
    </w:p>
    <w:p w:rsidR="00B94410" w:rsidRDefault="007C0DEA" w:rsidP="002550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Gogotsi</w:t>
      </w:r>
      <w:r w:rsidR="00EC5D1C" w:rsidRPr="00EC5D1C">
        <w:rPr>
          <w:rFonts w:ascii="Times New Roman" w:hAnsi="Times New Roman" w:cs="Times New Roman"/>
          <w:b/>
          <w:sz w:val="24"/>
          <w:szCs w:val="24"/>
        </w:rPr>
        <w:t xml:space="preserve"> Y.</w:t>
      </w:r>
      <w:r w:rsidR="00EC5D1C" w:rsidRPr="00EC5D1C">
        <w:rPr>
          <w:rFonts w:ascii="Times New Roman" w:hAnsi="Times New Roman" w:cs="Times New Roman"/>
          <w:b/>
          <w:bCs/>
          <w:sz w:val="24"/>
          <w:szCs w:val="24"/>
        </w:rPr>
        <w:t xml:space="preserve"> 2006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5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D1C" w:rsidRPr="00EC5D1C">
        <w:rPr>
          <w:rFonts w:ascii="Times New Roman" w:hAnsi="Times New Roman" w:cs="Times New Roman"/>
          <w:i/>
          <w:sz w:val="24"/>
          <w:szCs w:val="24"/>
        </w:rPr>
        <w:t>Nanomaterials Handbook,</w:t>
      </w:r>
      <w:r w:rsidR="00EC5D1C" w:rsidRPr="00EC5D1C">
        <w:rPr>
          <w:rFonts w:ascii="Times New Roman" w:hAnsi="Times New Roman" w:cs="Times New Roman"/>
          <w:sz w:val="24"/>
          <w:szCs w:val="24"/>
        </w:rPr>
        <w:t xml:space="preserve"> </w:t>
      </w:r>
      <w:r w:rsidR="00EC5D1C" w:rsidRPr="00EC5D1C">
        <w:rPr>
          <w:rFonts w:ascii="Times New Roman" w:hAnsi="Times New Roman" w:cs="Times New Roman"/>
          <w:iCs/>
          <w:sz w:val="24"/>
          <w:szCs w:val="24"/>
        </w:rPr>
        <w:t>CRC Press</w:t>
      </w:r>
      <w:r w:rsidR="00AD6842">
        <w:rPr>
          <w:rFonts w:ascii="Times New Roman" w:hAnsi="Times New Roman" w:cs="Times New Roman"/>
          <w:sz w:val="24"/>
          <w:szCs w:val="24"/>
        </w:rPr>
        <w:t>,</w:t>
      </w:r>
      <w:r w:rsidR="00EC5D1C" w:rsidRPr="00EC5D1C">
        <w:rPr>
          <w:rFonts w:ascii="Times New Roman" w:hAnsi="Times New Roman" w:cs="Times New Roman"/>
          <w:sz w:val="24"/>
          <w:szCs w:val="24"/>
        </w:rPr>
        <w:t xml:space="preserve"> 239–282.</w:t>
      </w:r>
    </w:p>
    <w:p w:rsidR="007C0DEA" w:rsidRDefault="007C0DEA" w:rsidP="007C0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Arulepp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M, Leis J,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Lätt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M, Miller F,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Rumma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K, Lust E, Burke A</w:t>
      </w:r>
      <w:r w:rsidRPr="007C0DEA">
        <w:rPr>
          <w:rFonts w:ascii="Times New Roman" w:hAnsi="Times New Roman" w:cs="Times New Roman"/>
          <w:b/>
          <w:sz w:val="24"/>
          <w:szCs w:val="24"/>
          <w:lang w:val="en-US"/>
        </w:rPr>
        <w:t>F.</w:t>
      </w:r>
      <w:r w:rsidRPr="007C0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0DEA">
        <w:rPr>
          <w:rFonts w:ascii="Times New Roman" w:hAnsi="Times New Roman" w:cs="Times New Roman"/>
          <w:b/>
          <w:sz w:val="24"/>
          <w:szCs w:val="24"/>
          <w:lang w:val="en-US"/>
        </w:rPr>
        <w:t>2006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0DEA">
        <w:rPr>
          <w:rFonts w:ascii="Times New Roman" w:hAnsi="Times New Roman" w:cs="Times New Roman"/>
          <w:sz w:val="24"/>
          <w:szCs w:val="24"/>
          <w:lang w:val="en-US"/>
        </w:rPr>
        <w:t xml:space="preserve">The advanced carbide-derived carbon based </w:t>
      </w:r>
      <w:proofErr w:type="spellStart"/>
      <w:r w:rsidRPr="007C0DEA">
        <w:rPr>
          <w:rFonts w:ascii="Times New Roman" w:hAnsi="Times New Roman" w:cs="Times New Roman"/>
          <w:sz w:val="24"/>
          <w:szCs w:val="24"/>
          <w:lang w:val="en-US"/>
        </w:rPr>
        <w:t>supercapacitor</w:t>
      </w:r>
      <w:proofErr w:type="spellEnd"/>
      <w:r w:rsidRPr="007C0D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0DEA">
        <w:rPr>
          <w:rFonts w:ascii="Times New Roman" w:hAnsi="Times New Roman" w:cs="Times New Roman"/>
          <w:i/>
          <w:sz w:val="24"/>
          <w:szCs w:val="24"/>
          <w:lang w:val="en-US"/>
        </w:rPr>
        <w:t>J. Power Sources</w:t>
      </w:r>
      <w:r w:rsidRPr="007C0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0DEA">
        <w:rPr>
          <w:rFonts w:ascii="Times New Roman" w:hAnsi="Times New Roman" w:cs="Times New Roman"/>
          <w:b/>
          <w:sz w:val="24"/>
          <w:szCs w:val="24"/>
          <w:lang w:val="en-US"/>
        </w:rPr>
        <w:t>162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7C0DEA">
        <w:rPr>
          <w:rFonts w:ascii="Times New Roman" w:hAnsi="Times New Roman" w:cs="Times New Roman"/>
          <w:sz w:val="24"/>
          <w:szCs w:val="24"/>
          <w:lang w:val="en-US"/>
        </w:rPr>
        <w:t>1460–1466.</w:t>
      </w:r>
    </w:p>
    <w:p w:rsidR="00D279B2" w:rsidRPr="007C0DEA" w:rsidRDefault="00D279B2" w:rsidP="007C0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Leis J,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Arulepp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M,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Kuura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Lätt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M, Lust</w:t>
      </w:r>
      <w:r w:rsidRPr="00D279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E.</w:t>
      </w:r>
      <w:r w:rsidRPr="00D279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279B2">
        <w:rPr>
          <w:rFonts w:ascii="Times New Roman" w:hAnsi="Times New Roman" w:cs="Times New Roman"/>
          <w:b/>
          <w:sz w:val="24"/>
          <w:szCs w:val="24"/>
          <w:lang w:val="en-GB"/>
        </w:rPr>
        <w:t>2006.</w:t>
      </w:r>
      <w:proofErr w:type="gramEnd"/>
      <w:r w:rsidRPr="00D279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D279B2">
        <w:rPr>
          <w:rFonts w:ascii="Times New Roman" w:hAnsi="Times New Roman" w:cs="Times New Roman"/>
          <w:sz w:val="24"/>
          <w:szCs w:val="24"/>
          <w:lang w:val="en-GB"/>
        </w:rPr>
        <w:t>Electrical double-layer characteristics of novel carbide-derived carbon materials.</w:t>
      </w:r>
      <w:proofErr w:type="gramEnd"/>
      <w:r w:rsidRPr="00D279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279B2">
        <w:rPr>
          <w:rFonts w:ascii="Times New Roman" w:hAnsi="Times New Roman" w:cs="Times New Roman"/>
          <w:i/>
          <w:sz w:val="24"/>
          <w:szCs w:val="24"/>
          <w:lang w:val="en-GB"/>
        </w:rPr>
        <w:t>Carbon</w:t>
      </w:r>
      <w:r w:rsidRPr="00D279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279B2">
        <w:rPr>
          <w:rFonts w:ascii="Times New Roman" w:hAnsi="Times New Roman" w:cs="Times New Roman"/>
          <w:b/>
          <w:sz w:val="24"/>
          <w:szCs w:val="24"/>
          <w:lang w:val="en-GB"/>
        </w:rPr>
        <w:t>44:</w:t>
      </w:r>
      <w:r w:rsidRPr="00D279B2">
        <w:rPr>
          <w:rFonts w:ascii="Times New Roman" w:hAnsi="Times New Roman" w:cs="Times New Roman"/>
          <w:sz w:val="24"/>
          <w:szCs w:val="24"/>
          <w:lang w:val="en-GB"/>
        </w:rPr>
        <w:t xml:space="preserve"> 2122</w:t>
      </w:r>
      <w:r>
        <w:rPr>
          <w:rFonts w:ascii="Times New Roman" w:hAnsi="Times New Roman" w:cs="Times New Roman"/>
          <w:sz w:val="24"/>
          <w:szCs w:val="24"/>
          <w:lang w:val="en-GB"/>
        </w:rPr>
        <w:t>-2128</w:t>
      </w:r>
    </w:p>
    <w:p w:rsidR="00152855" w:rsidRDefault="00152855" w:rsidP="00152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Conway B</w:t>
      </w:r>
      <w:r w:rsidRPr="00A838B0">
        <w:rPr>
          <w:rFonts w:ascii="Times New Roman" w:hAnsi="Times New Roman" w:cs="Times New Roman"/>
          <w:b/>
          <w:sz w:val="24"/>
          <w:szCs w:val="24"/>
          <w:lang w:val="en-GB"/>
        </w:rPr>
        <w:t xml:space="preserve">E. 1999. </w:t>
      </w:r>
      <w:r w:rsidRPr="00A838B0">
        <w:rPr>
          <w:rFonts w:ascii="Times New Roman" w:hAnsi="Times New Roman" w:cs="Times New Roman"/>
          <w:i/>
          <w:sz w:val="24"/>
          <w:szCs w:val="24"/>
          <w:lang w:val="en-GB"/>
        </w:rPr>
        <w:t xml:space="preserve">Electrochemical </w:t>
      </w:r>
      <w:proofErr w:type="spellStart"/>
      <w:r w:rsidRPr="00A838B0">
        <w:rPr>
          <w:rFonts w:ascii="Times New Roman" w:hAnsi="Times New Roman" w:cs="Times New Roman"/>
          <w:i/>
          <w:sz w:val="24"/>
          <w:szCs w:val="24"/>
          <w:lang w:val="en-GB"/>
        </w:rPr>
        <w:t>Supercapacitors</w:t>
      </w:r>
      <w:proofErr w:type="spellEnd"/>
      <w:r w:rsidRPr="00A838B0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proofErr w:type="gramStart"/>
      <w:r w:rsidRPr="00A838B0">
        <w:rPr>
          <w:rFonts w:ascii="Times New Roman" w:hAnsi="Times New Roman" w:cs="Times New Roman"/>
          <w:i/>
          <w:sz w:val="24"/>
          <w:szCs w:val="24"/>
          <w:lang w:val="en-GB"/>
        </w:rPr>
        <w:t>Scientific Fundamentals and Technological Applications.</w:t>
      </w:r>
      <w:proofErr w:type="gramEnd"/>
      <w:r w:rsidRPr="00A838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A838B0">
        <w:rPr>
          <w:rFonts w:ascii="Times New Roman" w:hAnsi="Times New Roman" w:cs="Times New Roman"/>
          <w:sz w:val="24"/>
          <w:szCs w:val="24"/>
          <w:lang w:val="en-GB"/>
        </w:rPr>
        <w:t>Kluwer</w:t>
      </w:r>
      <w:proofErr w:type="spellEnd"/>
      <w:r w:rsidRPr="00A838B0">
        <w:rPr>
          <w:rFonts w:ascii="Times New Roman" w:hAnsi="Times New Roman" w:cs="Times New Roman"/>
          <w:sz w:val="24"/>
          <w:szCs w:val="24"/>
          <w:lang w:val="en-GB"/>
        </w:rPr>
        <w:t xml:space="preserve"> Academ</w:t>
      </w:r>
      <w:r>
        <w:rPr>
          <w:rFonts w:ascii="Times New Roman" w:hAnsi="Times New Roman" w:cs="Times New Roman"/>
          <w:sz w:val="24"/>
          <w:szCs w:val="24"/>
          <w:lang w:val="en-GB"/>
        </w:rPr>
        <w:t>ic/Plenum Publishers.</w:t>
      </w:r>
      <w:proofErr w:type="gramEnd"/>
    </w:p>
    <w:p w:rsidR="00AD6842" w:rsidRDefault="00AD6842" w:rsidP="00152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Dash R,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Chmiola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J,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Yushin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G,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Gogotsi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Y,</w:t>
      </w:r>
      <w:r w:rsidRPr="00AD68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6842">
        <w:rPr>
          <w:rFonts w:ascii="Times New Roman" w:hAnsi="Times New Roman" w:cs="Times New Roman"/>
          <w:b/>
          <w:sz w:val="24"/>
          <w:szCs w:val="24"/>
          <w:lang w:val="en-US"/>
        </w:rPr>
        <w:t>Laudisio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J, Singer J, Fischer J,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Kucheyev</w:t>
      </w:r>
      <w:proofErr w:type="spellEnd"/>
      <w:r w:rsidRPr="00AD68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S. 2006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D6842">
        <w:rPr>
          <w:rFonts w:ascii="Times New Roman" w:hAnsi="Times New Roman" w:cs="Times New Roman"/>
          <w:sz w:val="24"/>
          <w:szCs w:val="24"/>
          <w:lang w:val="en-US"/>
        </w:rPr>
        <w:t xml:space="preserve">Titanium carbide derived </w:t>
      </w:r>
      <w:proofErr w:type="spellStart"/>
      <w:r w:rsidRPr="00AD6842">
        <w:rPr>
          <w:rFonts w:ascii="Times New Roman" w:hAnsi="Times New Roman" w:cs="Times New Roman"/>
          <w:sz w:val="24"/>
          <w:szCs w:val="24"/>
          <w:lang w:val="en-US"/>
        </w:rPr>
        <w:t>nanoporous</w:t>
      </w:r>
      <w:proofErr w:type="spellEnd"/>
      <w:r w:rsidRPr="00AD6842">
        <w:rPr>
          <w:rFonts w:ascii="Times New Roman" w:hAnsi="Times New Roman" w:cs="Times New Roman"/>
          <w:sz w:val="24"/>
          <w:szCs w:val="24"/>
          <w:lang w:val="en-US"/>
        </w:rPr>
        <w:t xml:space="preserve"> carbon for energy-related applications. </w:t>
      </w:r>
      <w:r w:rsidRPr="00AD6842">
        <w:rPr>
          <w:rFonts w:ascii="Times New Roman" w:hAnsi="Times New Roman" w:cs="Times New Roman"/>
          <w:i/>
          <w:sz w:val="24"/>
          <w:szCs w:val="24"/>
          <w:lang w:val="en-US"/>
        </w:rPr>
        <w:t>Carbon</w:t>
      </w:r>
      <w:r w:rsidRPr="00AD6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6842">
        <w:rPr>
          <w:rFonts w:ascii="Times New Roman" w:hAnsi="Times New Roman" w:cs="Times New Roman"/>
          <w:b/>
          <w:sz w:val="24"/>
          <w:szCs w:val="24"/>
          <w:lang w:val="en-US"/>
        </w:rPr>
        <w:t>44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D6842">
        <w:rPr>
          <w:rFonts w:ascii="Times New Roman" w:hAnsi="Times New Roman" w:cs="Times New Roman"/>
          <w:sz w:val="24"/>
          <w:szCs w:val="24"/>
          <w:lang w:val="en-US"/>
        </w:rPr>
        <w:t xml:space="preserve"> 2489–2497.</w:t>
      </w:r>
    </w:p>
    <w:p w:rsidR="00A838B0" w:rsidRDefault="007C0DEA" w:rsidP="002550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Hahn M,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Barbieri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Gallay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Kötz</w:t>
      </w:r>
      <w:proofErr w:type="spellEnd"/>
      <w:r w:rsidR="00A838B0" w:rsidRPr="00A838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R. 2006</w:t>
      </w:r>
      <w:r w:rsidR="00A838B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83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838B0" w:rsidRPr="00A838B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A838B0" w:rsidRPr="00A838B0">
        <w:rPr>
          <w:rFonts w:ascii="Times New Roman" w:hAnsi="Times New Roman" w:cs="Times New Roman"/>
          <w:sz w:val="24"/>
          <w:szCs w:val="24"/>
          <w:lang w:val="en-US"/>
        </w:rPr>
        <w:t>dilatometric</w:t>
      </w:r>
      <w:proofErr w:type="spellEnd"/>
      <w:r w:rsidR="00A838B0" w:rsidRPr="00A838B0">
        <w:rPr>
          <w:rFonts w:ascii="Times New Roman" w:hAnsi="Times New Roman" w:cs="Times New Roman"/>
          <w:sz w:val="24"/>
          <w:szCs w:val="24"/>
          <w:lang w:val="en-US"/>
        </w:rPr>
        <w:t xml:space="preserve"> study of the voltage limitation of carbonaceous electrodes in </w:t>
      </w:r>
      <w:proofErr w:type="spellStart"/>
      <w:r w:rsidR="00A838B0" w:rsidRPr="00A838B0">
        <w:rPr>
          <w:rFonts w:ascii="Times New Roman" w:hAnsi="Times New Roman" w:cs="Times New Roman"/>
          <w:sz w:val="24"/>
          <w:szCs w:val="24"/>
          <w:lang w:val="en-US"/>
        </w:rPr>
        <w:t>aprotic</w:t>
      </w:r>
      <w:proofErr w:type="spellEnd"/>
      <w:r w:rsidR="00A838B0" w:rsidRPr="00A838B0">
        <w:rPr>
          <w:rFonts w:ascii="Times New Roman" w:hAnsi="Times New Roman" w:cs="Times New Roman"/>
          <w:sz w:val="24"/>
          <w:szCs w:val="24"/>
          <w:lang w:val="en-US"/>
        </w:rPr>
        <w:t xml:space="preserve"> EDLC type electrolytes by charge-induced strain.</w:t>
      </w:r>
      <w:proofErr w:type="gramEnd"/>
      <w:r w:rsidR="00A838B0" w:rsidRPr="00A83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8B0" w:rsidRPr="00A838B0">
        <w:rPr>
          <w:rFonts w:ascii="Times New Roman" w:hAnsi="Times New Roman" w:cs="Times New Roman"/>
          <w:i/>
          <w:sz w:val="24"/>
          <w:szCs w:val="24"/>
          <w:lang w:val="en-US"/>
        </w:rPr>
        <w:t>Carbon</w:t>
      </w:r>
      <w:r w:rsidR="00A838B0" w:rsidRPr="00A83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8B0" w:rsidRPr="00A838B0">
        <w:rPr>
          <w:rFonts w:ascii="Times New Roman" w:hAnsi="Times New Roman" w:cs="Times New Roman"/>
          <w:b/>
          <w:sz w:val="24"/>
          <w:szCs w:val="24"/>
          <w:lang w:val="en-US"/>
        </w:rPr>
        <w:t>44</w:t>
      </w:r>
      <w:r w:rsidR="00A838B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838B0" w:rsidRPr="00A838B0">
        <w:rPr>
          <w:rFonts w:ascii="Times New Roman" w:hAnsi="Times New Roman" w:cs="Times New Roman"/>
          <w:sz w:val="24"/>
          <w:szCs w:val="24"/>
          <w:lang w:val="en-US"/>
        </w:rPr>
        <w:t xml:space="preserve"> 2523–2533.</w:t>
      </w:r>
    </w:p>
    <w:p w:rsidR="007C0DEA" w:rsidRDefault="007C0DEA" w:rsidP="002550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Permann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L,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Lätt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M, Leis J,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Arulepp</w:t>
      </w:r>
      <w:proofErr w:type="spellEnd"/>
      <w:r w:rsidR="00A838B0" w:rsidRPr="00A838B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M. 2006.</w:t>
      </w:r>
      <w:r w:rsidR="00A838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838B0" w:rsidRPr="00A838B0">
        <w:rPr>
          <w:rFonts w:ascii="Times New Roman" w:hAnsi="Times New Roman" w:cs="Times New Roman"/>
          <w:sz w:val="24"/>
          <w:szCs w:val="24"/>
          <w:lang w:val="en-GB"/>
        </w:rPr>
        <w:t xml:space="preserve">Electrical double layer characteristics of </w:t>
      </w:r>
      <w:proofErr w:type="spellStart"/>
      <w:r w:rsidR="00A838B0" w:rsidRPr="00A838B0">
        <w:rPr>
          <w:rFonts w:ascii="Times New Roman" w:hAnsi="Times New Roman" w:cs="Times New Roman"/>
          <w:sz w:val="24"/>
          <w:szCs w:val="24"/>
          <w:lang w:val="en-GB"/>
        </w:rPr>
        <w:t>nanoporous</w:t>
      </w:r>
      <w:proofErr w:type="spellEnd"/>
      <w:r w:rsidR="00A838B0" w:rsidRPr="00A838B0">
        <w:rPr>
          <w:rFonts w:ascii="Times New Roman" w:hAnsi="Times New Roman" w:cs="Times New Roman"/>
          <w:sz w:val="24"/>
          <w:szCs w:val="24"/>
          <w:lang w:val="en-GB"/>
        </w:rPr>
        <w:t xml:space="preserve"> carbon derived from titanium carbide. </w:t>
      </w:r>
      <w:proofErr w:type="spellStart"/>
      <w:proofErr w:type="gramStart"/>
      <w:r w:rsidR="00A838B0" w:rsidRPr="007C0DEA">
        <w:rPr>
          <w:rFonts w:ascii="Times New Roman" w:hAnsi="Times New Roman" w:cs="Times New Roman"/>
          <w:i/>
          <w:sz w:val="24"/>
          <w:szCs w:val="24"/>
          <w:lang w:val="en-GB"/>
        </w:rPr>
        <w:t>Electrochim</w:t>
      </w:r>
      <w:proofErr w:type="spellEnd"/>
      <w:r w:rsidR="00A838B0" w:rsidRPr="007C0DEA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proofErr w:type="gramEnd"/>
      <w:r w:rsidR="00A838B0" w:rsidRPr="007C0DE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A838B0" w:rsidRPr="007C0DEA">
        <w:rPr>
          <w:rFonts w:ascii="Times New Roman" w:hAnsi="Times New Roman" w:cs="Times New Roman"/>
          <w:i/>
          <w:sz w:val="24"/>
          <w:szCs w:val="24"/>
          <w:lang w:val="en-GB"/>
        </w:rPr>
        <w:t>Acta</w:t>
      </w:r>
      <w:proofErr w:type="spellEnd"/>
      <w:r w:rsidR="00A838B0" w:rsidRPr="00A838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C0DEA">
        <w:rPr>
          <w:rFonts w:ascii="Times New Roman" w:hAnsi="Times New Roman" w:cs="Times New Roman"/>
          <w:b/>
          <w:sz w:val="24"/>
          <w:szCs w:val="24"/>
          <w:lang w:val="en-GB"/>
        </w:rPr>
        <w:t>51:</w:t>
      </w:r>
      <w:r w:rsidR="00A838B0" w:rsidRPr="00A838B0">
        <w:rPr>
          <w:rFonts w:ascii="Times New Roman" w:hAnsi="Times New Roman" w:cs="Times New Roman"/>
          <w:sz w:val="24"/>
          <w:szCs w:val="24"/>
          <w:lang w:val="en-GB"/>
        </w:rPr>
        <w:t xml:space="preserve"> 1274</w:t>
      </w:r>
    </w:p>
    <w:p w:rsidR="00A9107E" w:rsidRDefault="001E6FCD" w:rsidP="002550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Hahn M,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Barbieri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Campana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FP,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Kötz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Gallay</w:t>
      </w:r>
      <w:proofErr w:type="spellEnd"/>
      <w:r w:rsidRPr="001E6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R.</w:t>
      </w:r>
      <w:r w:rsidRPr="001E6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6FCD">
        <w:rPr>
          <w:rFonts w:ascii="Times New Roman" w:hAnsi="Times New Roman" w:cs="Times New Roman"/>
          <w:b/>
          <w:sz w:val="24"/>
          <w:szCs w:val="24"/>
          <w:lang w:val="en-US"/>
        </w:rPr>
        <w:t>2006.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6FCD">
        <w:rPr>
          <w:rFonts w:ascii="Times New Roman" w:hAnsi="Times New Roman" w:cs="Times New Roman"/>
          <w:sz w:val="24"/>
          <w:szCs w:val="24"/>
          <w:lang w:val="en-US"/>
        </w:rPr>
        <w:t xml:space="preserve">Carbon based double layer capacitors with </w:t>
      </w:r>
      <w:proofErr w:type="spellStart"/>
      <w:r w:rsidRPr="001E6FCD">
        <w:rPr>
          <w:rFonts w:ascii="Times New Roman" w:hAnsi="Times New Roman" w:cs="Times New Roman"/>
          <w:sz w:val="24"/>
          <w:szCs w:val="24"/>
          <w:lang w:val="en-US"/>
        </w:rPr>
        <w:t>aprotic</w:t>
      </w:r>
      <w:proofErr w:type="spellEnd"/>
      <w:r w:rsidRPr="001E6FCD">
        <w:rPr>
          <w:rFonts w:ascii="Times New Roman" w:hAnsi="Times New Roman" w:cs="Times New Roman"/>
          <w:sz w:val="24"/>
          <w:szCs w:val="24"/>
          <w:lang w:val="en-US"/>
        </w:rPr>
        <w:t xml:space="preserve"> electrolyte solutions: the possible role of intercalation/insertion processes. </w:t>
      </w:r>
      <w:r w:rsidRPr="001E6FCD">
        <w:rPr>
          <w:rFonts w:ascii="Times New Roman" w:hAnsi="Times New Roman" w:cs="Times New Roman"/>
          <w:i/>
          <w:sz w:val="24"/>
          <w:szCs w:val="24"/>
          <w:lang w:val="en-US"/>
        </w:rPr>
        <w:t>Appl</w:t>
      </w:r>
      <w:r w:rsidRPr="001E6FCD">
        <w:rPr>
          <w:rFonts w:ascii="Times New Roman" w:hAnsi="Times New Roman" w:cs="Times New Roman" w:hint="eastAsia"/>
          <w:i/>
          <w:sz w:val="24"/>
          <w:szCs w:val="24"/>
          <w:lang w:val="en-US"/>
        </w:rPr>
        <w:t>.</w:t>
      </w:r>
      <w:r w:rsidRPr="001E6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Phys</w:t>
      </w:r>
      <w:r w:rsidRPr="001E6FCD">
        <w:rPr>
          <w:rFonts w:ascii="Times New Roman" w:hAnsi="Times New Roman" w:cs="Times New Roman" w:hint="eastAsia"/>
          <w:i/>
          <w:sz w:val="24"/>
          <w:szCs w:val="24"/>
          <w:lang w:val="en-US"/>
        </w:rPr>
        <w:t>.</w:t>
      </w:r>
      <w:r w:rsidRPr="001E6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1E6FC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1E6F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E6FCD">
        <w:rPr>
          <w:rFonts w:ascii="Times New Roman" w:hAnsi="Times New Roman" w:cs="Times New Roman"/>
          <w:b/>
          <w:i/>
          <w:sz w:val="24"/>
          <w:szCs w:val="24"/>
          <w:lang w:val="en-US"/>
        </w:rPr>
        <w:t>82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E6FCD">
        <w:rPr>
          <w:rFonts w:ascii="Times New Roman" w:hAnsi="Times New Roman" w:cs="Times New Roman"/>
          <w:sz w:val="24"/>
          <w:szCs w:val="24"/>
          <w:lang w:val="en-US"/>
        </w:rPr>
        <w:t xml:space="preserve"> 633–638.</w:t>
      </w:r>
    </w:p>
    <w:p w:rsidR="00A9107E" w:rsidRDefault="00A910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A9107E" w:rsidRDefault="00A12DE0" w:rsidP="00A91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Lühikokkuvõte</w:t>
      </w:r>
    </w:p>
    <w:p w:rsidR="00A9107E" w:rsidRDefault="00A9107E" w:rsidP="00A910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55005">
        <w:rPr>
          <w:rFonts w:ascii="Times New Roman" w:hAnsi="Times New Roman" w:cs="Times New Roman"/>
          <w:sz w:val="24"/>
          <w:szCs w:val="24"/>
        </w:rPr>
        <w:t>uriti kahe erineva süsinikmaterjali sobivust lineaarsel liigutusel põhineva aktuaatori rakendustes.</w:t>
      </w:r>
      <w:r w:rsidRPr="002550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55005">
        <w:rPr>
          <w:rFonts w:ascii="Times New Roman" w:hAnsi="Times New Roman" w:cs="Times New Roman"/>
          <w:sz w:val="24"/>
          <w:szCs w:val="24"/>
        </w:rPr>
        <w:t>õõdeti materjalide poolt tekitatavat liigutuse ulatust, liigutuse kiirust, täpsust (reprodutseeritavust) ning nende parameetrite sõltuvust rakendatud pingest ja voolust</w:t>
      </w:r>
      <w:r>
        <w:rPr>
          <w:rFonts w:ascii="Times New Roman" w:hAnsi="Times New Roman" w:cs="Times New Roman"/>
          <w:sz w:val="24"/>
          <w:szCs w:val="24"/>
        </w:rPr>
        <w:t>. H</w:t>
      </w:r>
      <w:r w:rsidRPr="00255005">
        <w:rPr>
          <w:rFonts w:ascii="Times New Roman" w:hAnsi="Times New Roman" w:cs="Times New Roman"/>
          <w:sz w:val="24"/>
          <w:szCs w:val="24"/>
        </w:rPr>
        <w:t xml:space="preserve">innati 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Pr="00255005">
        <w:rPr>
          <w:rFonts w:ascii="Times New Roman" w:hAnsi="Times New Roman" w:cs="Times New Roman"/>
          <w:sz w:val="24"/>
          <w:szCs w:val="24"/>
        </w:rPr>
        <w:t xml:space="preserve">klassikalisi </w:t>
      </w:r>
      <w:r>
        <w:rPr>
          <w:rFonts w:ascii="Times New Roman" w:hAnsi="Times New Roman" w:cs="Times New Roman"/>
          <w:sz w:val="24"/>
          <w:szCs w:val="24"/>
        </w:rPr>
        <w:t>superkondensaatori parameetreid</w:t>
      </w:r>
      <w:r w:rsidRPr="00255005">
        <w:rPr>
          <w:rFonts w:ascii="Times New Roman" w:hAnsi="Times New Roman" w:cs="Times New Roman"/>
          <w:sz w:val="24"/>
          <w:szCs w:val="24"/>
        </w:rPr>
        <w:t xml:space="preserve"> kasutade</w:t>
      </w:r>
      <w:r>
        <w:rPr>
          <w:rFonts w:ascii="Times New Roman" w:hAnsi="Times New Roman" w:cs="Times New Roman"/>
          <w:sz w:val="24"/>
          <w:szCs w:val="24"/>
        </w:rPr>
        <w:t>s tsüklilist voltamperomeetriat. Süsinikmaterjalil baseeruvad täiturid</w:t>
      </w:r>
      <w:r w:rsidRPr="00255005">
        <w:rPr>
          <w:rFonts w:ascii="Times New Roman" w:hAnsi="Times New Roman" w:cs="Times New Roman"/>
          <w:sz w:val="24"/>
          <w:szCs w:val="24"/>
        </w:rPr>
        <w:t xml:space="preserve"> omasid elektroaktiivseid omadusi nii TEABF</w:t>
      </w:r>
      <w:r w:rsidRPr="0025500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55005">
        <w:rPr>
          <w:rFonts w:ascii="Times New Roman" w:hAnsi="Times New Roman" w:cs="Times New Roman"/>
          <w:sz w:val="24"/>
          <w:szCs w:val="24"/>
        </w:rPr>
        <w:t>/PC elektrolüüdis kui EMITf ioonvedelikus</w:t>
      </w:r>
      <w:r>
        <w:rPr>
          <w:rFonts w:ascii="Times New Roman" w:hAnsi="Times New Roman" w:cs="Times New Roman"/>
          <w:sz w:val="24"/>
          <w:szCs w:val="24"/>
        </w:rPr>
        <w:t xml:space="preserve">. Elektrienergia mehaaniliseks tööks muundamise efektiivsused olid suhteliselt tagasihoidlikud, kuid see on probleemiks ka teistele samalaadsetele täituritele. Leiti, et täituri TEA800 </w:t>
      </w:r>
      <w:r w:rsidRPr="00074F6B">
        <w:rPr>
          <w:rFonts w:ascii="Times New Roman" w:hAnsi="Times New Roman" w:cs="Times New Roman"/>
          <w:sz w:val="24"/>
          <w:szCs w:val="24"/>
        </w:rPr>
        <w:t>energiapõhine kasutegur ei sõltunud oluliselt laadimisel kasutatud voolu väärtusest, mis annab häid väljavaateid</w:t>
      </w:r>
      <w:r>
        <w:rPr>
          <w:rFonts w:ascii="Times New Roman" w:hAnsi="Times New Roman" w:cs="Times New Roman"/>
          <w:sz w:val="24"/>
          <w:szCs w:val="24"/>
        </w:rPr>
        <w:t>, et</w:t>
      </w:r>
      <w:r w:rsidRPr="00074F6B">
        <w:rPr>
          <w:rFonts w:ascii="Times New Roman" w:hAnsi="Times New Roman" w:cs="Times New Roman"/>
          <w:sz w:val="24"/>
          <w:szCs w:val="24"/>
        </w:rPr>
        <w:t xml:space="preserve"> </w:t>
      </w:r>
      <w:r w:rsidRPr="00601797">
        <w:rPr>
          <w:rFonts w:ascii="Times New Roman" w:hAnsi="Times New Roman" w:cs="Times New Roman"/>
          <w:sz w:val="24"/>
          <w:szCs w:val="24"/>
        </w:rPr>
        <w:t>arendada kiiremat ja suurema kasuteguriga aktuaatorit.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FCD" w:rsidRPr="00E60C90" w:rsidRDefault="00A9107E" w:rsidP="00A91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C90">
        <w:rPr>
          <w:rFonts w:ascii="Times New Roman" w:hAnsi="Times New Roman" w:cs="Times New Roman"/>
          <w:b/>
          <w:sz w:val="24"/>
          <w:szCs w:val="24"/>
        </w:rPr>
        <w:t>Seos säästva arenguga</w:t>
      </w:r>
    </w:p>
    <w:p w:rsidR="00D12415" w:rsidRPr="00A9107E" w:rsidRDefault="00A9107E" w:rsidP="00A910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7E">
        <w:rPr>
          <w:rFonts w:ascii="Times New Roman" w:hAnsi="Times New Roman" w:cs="Times New Roman"/>
          <w:sz w:val="24"/>
          <w:szCs w:val="24"/>
        </w:rPr>
        <w:t>Superkondensaato</w:t>
      </w:r>
      <w:r w:rsidR="00CD7590">
        <w:rPr>
          <w:rFonts w:ascii="Times New Roman" w:hAnsi="Times New Roman" w:cs="Times New Roman"/>
          <w:sz w:val="24"/>
          <w:szCs w:val="24"/>
        </w:rPr>
        <w:t>r, seade</w:t>
      </w:r>
      <w:r>
        <w:rPr>
          <w:rFonts w:ascii="Times New Roman" w:hAnsi="Times New Roman" w:cs="Times New Roman"/>
          <w:sz w:val="24"/>
          <w:szCs w:val="24"/>
        </w:rPr>
        <w:t xml:space="preserve"> millega antud töös valmistatud täitur paljuski sarnanes</w:t>
      </w:r>
      <w:r w:rsidR="00CD7590">
        <w:rPr>
          <w:rFonts w:ascii="Times New Roman" w:hAnsi="Times New Roman" w:cs="Times New Roman"/>
          <w:sz w:val="24"/>
          <w:szCs w:val="24"/>
        </w:rPr>
        <w:t>,</w:t>
      </w:r>
      <w:r w:rsidRPr="00A9107E">
        <w:rPr>
          <w:rFonts w:ascii="Times New Roman" w:hAnsi="Times New Roman" w:cs="Times New Roman"/>
          <w:sz w:val="24"/>
          <w:szCs w:val="24"/>
        </w:rPr>
        <w:t xml:space="preserve"> on elektrienergia salvestamise</w:t>
      </w:r>
      <w:r w:rsidR="00CD7590">
        <w:rPr>
          <w:rFonts w:ascii="Times New Roman" w:hAnsi="Times New Roman" w:cs="Times New Roman"/>
          <w:sz w:val="24"/>
          <w:szCs w:val="24"/>
        </w:rPr>
        <w:t xml:space="preserve"> süsteem</w:t>
      </w:r>
      <w:r>
        <w:rPr>
          <w:rFonts w:ascii="Times New Roman" w:hAnsi="Times New Roman" w:cs="Times New Roman"/>
          <w:sz w:val="24"/>
          <w:szCs w:val="24"/>
        </w:rPr>
        <w:t>, kus elektrilaeng</w:t>
      </w:r>
      <w:r w:rsidRPr="00A9107E">
        <w:rPr>
          <w:rFonts w:ascii="Times New Roman" w:hAnsi="Times New Roman" w:cs="Times New Roman"/>
          <w:sz w:val="24"/>
          <w:szCs w:val="24"/>
        </w:rPr>
        <w:t xml:space="preserve"> talletatakse suurepinnalisele süsinikmaterjalile </w:t>
      </w:r>
      <w:r>
        <w:rPr>
          <w:rFonts w:ascii="Times New Roman" w:hAnsi="Times New Roman" w:cs="Times New Roman"/>
          <w:sz w:val="24"/>
          <w:szCs w:val="24"/>
        </w:rPr>
        <w:t xml:space="preserve">elektrolüüdiioonide </w:t>
      </w:r>
      <w:r w:rsidRPr="00A9107E">
        <w:rPr>
          <w:rFonts w:ascii="Times New Roman" w:hAnsi="Times New Roman" w:cs="Times New Roman"/>
          <w:sz w:val="24"/>
          <w:szCs w:val="24"/>
        </w:rPr>
        <w:t>adsorptsiooni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9107E">
        <w:rPr>
          <w:rFonts w:ascii="Times New Roman" w:hAnsi="Times New Roman" w:cs="Times New Roman"/>
          <w:sz w:val="24"/>
          <w:szCs w:val="24"/>
        </w:rPr>
        <w:t xml:space="preserve"> Tänu keemiliste protsesside puudumisele on adsorptsiooni teel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7E">
        <w:rPr>
          <w:rFonts w:ascii="Times New Roman" w:hAnsi="Times New Roman" w:cs="Times New Roman"/>
          <w:sz w:val="24"/>
          <w:szCs w:val="24"/>
        </w:rPr>
        <w:t>kondensaatoritesse võimalik energiat salvestada ja tarvitada sadu tuhandeid kordi.</w:t>
      </w:r>
      <w:r w:rsidR="00C26C5C">
        <w:rPr>
          <w:rFonts w:ascii="Times New Roman" w:hAnsi="Times New Roman" w:cs="Times New Roman"/>
          <w:sz w:val="24"/>
          <w:szCs w:val="24"/>
        </w:rPr>
        <w:t xml:space="preserve"> Lisaks heale elektrienergia salvestamise võ</w:t>
      </w:r>
      <w:r w:rsidR="00D12415">
        <w:rPr>
          <w:rFonts w:ascii="Times New Roman" w:hAnsi="Times New Roman" w:cs="Times New Roman"/>
          <w:sz w:val="24"/>
          <w:szCs w:val="24"/>
        </w:rPr>
        <w:t xml:space="preserve">imele omavad nanopoorsed </w:t>
      </w:r>
      <w:r w:rsidR="00C26C5C">
        <w:rPr>
          <w:rFonts w:ascii="Times New Roman" w:hAnsi="Times New Roman" w:cs="Times New Roman"/>
          <w:sz w:val="24"/>
          <w:szCs w:val="24"/>
        </w:rPr>
        <w:t xml:space="preserve">süsinikmaterjalid ka elektroaktiivseid omadusi. </w:t>
      </w:r>
      <w:r w:rsidR="00C26C5C" w:rsidRPr="00C26C5C">
        <w:rPr>
          <w:rFonts w:ascii="Times New Roman" w:hAnsi="Times New Roman" w:cs="Times New Roman"/>
          <w:sz w:val="24"/>
          <w:szCs w:val="24"/>
        </w:rPr>
        <w:t>Seetõ</w:t>
      </w:r>
      <w:r w:rsidR="00C26C5C">
        <w:rPr>
          <w:rFonts w:ascii="Times New Roman" w:hAnsi="Times New Roman" w:cs="Times New Roman"/>
          <w:sz w:val="24"/>
          <w:szCs w:val="24"/>
        </w:rPr>
        <w:t>ttu on tõenäolin</w:t>
      </w:r>
      <w:r w:rsidR="00D12415">
        <w:rPr>
          <w:rFonts w:ascii="Times New Roman" w:hAnsi="Times New Roman" w:cs="Times New Roman"/>
          <w:sz w:val="24"/>
          <w:szCs w:val="24"/>
        </w:rPr>
        <w:t xml:space="preserve">e, et nendest </w:t>
      </w:r>
      <w:r w:rsidR="00C26C5C">
        <w:rPr>
          <w:rFonts w:ascii="Times New Roman" w:hAnsi="Times New Roman" w:cs="Times New Roman"/>
          <w:sz w:val="24"/>
          <w:szCs w:val="24"/>
        </w:rPr>
        <w:t>materjalidest valmistatud täiturid</w:t>
      </w:r>
      <w:r w:rsidR="00C26C5C" w:rsidRPr="00C26C5C">
        <w:rPr>
          <w:rFonts w:ascii="Times New Roman" w:hAnsi="Times New Roman" w:cs="Times New Roman"/>
          <w:sz w:val="24"/>
          <w:szCs w:val="24"/>
        </w:rPr>
        <w:t xml:space="preserve"> võivad olla huvita</w:t>
      </w:r>
      <w:r w:rsidR="00C26C5C">
        <w:rPr>
          <w:rFonts w:ascii="Times New Roman" w:hAnsi="Times New Roman" w:cs="Times New Roman"/>
          <w:sz w:val="24"/>
          <w:szCs w:val="24"/>
        </w:rPr>
        <w:t>vaks alternatiiviks ele</w:t>
      </w:r>
      <w:r w:rsidR="00D12415">
        <w:rPr>
          <w:rFonts w:ascii="Times New Roman" w:hAnsi="Times New Roman" w:cs="Times New Roman"/>
          <w:sz w:val="24"/>
          <w:szCs w:val="24"/>
        </w:rPr>
        <w:t>ktroaktiivsetest polümeeridest valmistatud</w:t>
      </w:r>
      <w:r w:rsidR="00C26C5C">
        <w:rPr>
          <w:rFonts w:ascii="Times New Roman" w:hAnsi="Times New Roman" w:cs="Times New Roman"/>
          <w:sz w:val="24"/>
          <w:szCs w:val="24"/>
        </w:rPr>
        <w:t xml:space="preserve"> </w:t>
      </w:r>
      <w:r w:rsidR="00C26C5C" w:rsidRPr="00C26C5C">
        <w:rPr>
          <w:rFonts w:ascii="Times New Roman" w:hAnsi="Times New Roman" w:cs="Times New Roman"/>
          <w:sz w:val="24"/>
          <w:szCs w:val="24"/>
        </w:rPr>
        <w:t>“iseliigutavate</w:t>
      </w:r>
      <w:r w:rsidR="00D12415">
        <w:rPr>
          <w:rFonts w:ascii="Times New Roman" w:hAnsi="Times New Roman" w:cs="Times New Roman"/>
          <w:sz w:val="24"/>
          <w:szCs w:val="24"/>
        </w:rPr>
        <w:t>le</w:t>
      </w:r>
      <w:r w:rsidR="00C26C5C" w:rsidRPr="00C26C5C">
        <w:rPr>
          <w:rFonts w:ascii="Times New Roman" w:hAnsi="Times New Roman" w:cs="Times New Roman"/>
          <w:sz w:val="24"/>
          <w:szCs w:val="24"/>
        </w:rPr>
        <w:t xml:space="preserve"> mehhanismide</w:t>
      </w:r>
      <w:r w:rsidR="00D12415">
        <w:rPr>
          <w:rFonts w:ascii="Times New Roman" w:hAnsi="Times New Roman" w:cs="Times New Roman"/>
          <w:sz w:val="24"/>
          <w:szCs w:val="24"/>
        </w:rPr>
        <w:t>le”.</w:t>
      </w:r>
    </w:p>
    <w:sectPr w:rsidR="00D12415" w:rsidRPr="00A9107E" w:rsidSect="00E21D73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4668"/>
    <w:rsid w:val="00044720"/>
    <w:rsid w:val="000522EA"/>
    <w:rsid w:val="00074F6B"/>
    <w:rsid w:val="00092EB6"/>
    <w:rsid w:val="00141303"/>
    <w:rsid w:val="00152855"/>
    <w:rsid w:val="001528DC"/>
    <w:rsid w:val="00166A1D"/>
    <w:rsid w:val="0016712A"/>
    <w:rsid w:val="00175F8D"/>
    <w:rsid w:val="0018583C"/>
    <w:rsid w:val="001C1F8D"/>
    <w:rsid w:val="001E0453"/>
    <w:rsid w:val="001E6FCD"/>
    <w:rsid w:val="00255005"/>
    <w:rsid w:val="00271EDE"/>
    <w:rsid w:val="002838BC"/>
    <w:rsid w:val="0041163F"/>
    <w:rsid w:val="00445F26"/>
    <w:rsid w:val="00472272"/>
    <w:rsid w:val="00485212"/>
    <w:rsid w:val="00485E47"/>
    <w:rsid w:val="00487761"/>
    <w:rsid w:val="00497B7D"/>
    <w:rsid w:val="004A2452"/>
    <w:rsid w:val="004A34DF"/>
    <w:rsid w:val="004B4D1C"/>
    <w:rsid w:val="00541E2B"/>
    <w:rsid w:val="005810FE"/>
    <w:rsid w:val="005925E6"/>
    <w:rsid w:val="005A2D9C"/>
    <w:rsid w:val="0060098A"/>
    <w:rsid w:val="00601797"/>
    <w:rsid w:val="006101F2"/>
    <w:rsid w:val="0061330A"/>
    <w:rsid w:val="00616977"/>
    <w:rsid w:val="00621156"/>
    <w:rsid w:val="006316AB"/>
    <w:rsid w:val="00657855"/>
    <w:rsid w:val="00664F95"/>
    <w:rsid w:val="006746A6"/>
    <w:rsid w:val="006A4EF0"/>
    <w:rsid w:val="0070368C"/>
    <w:rsid w:val="0070452E"/>
    <w:rsid w:val="007249AC"/>
    <w:rsid w:val="00734A99"/>
    <w:rsid w:val="00787CD0"/>
    <w:rsid w:val="00792F21"/>
    <w:rsid w:val="007A13CC"/>
    <w:rsid w:val="007C0DEA"/>
    <w:rsid w:val="007F0CC5"/>
    <w:rsid w:val="00851ABC"/>
    <w:rsid w:val="008523C6"/>
    <w:rsid w:val="00875E44"/>
    <w:rsid w:val="00897AFE"/>
    <w:rsid w:val="008C086E"/>
    <w:rsid w:val="008C3BE4"/>
    <w:rsid w:val="00923E83"/>
    <w:rsid w:val="009327A3"/>
    <w:rsid w:val="00970154"/>
    <w:rsid w:val="0098490D"/>
    <w:rsid w:val="00992FCF"/>
    <w:rsid w:val="009A6DD9"/>
    <w:rsid w:val="009D2B96"/>
    <w:rsid w:val="009F45DA"/>
    <w:rsid w:val="00A07217"/>
    <w:rsid w:val="00A12DE0"/>
    <w:rsid w:val="00A60417"/>
    <w:rsid w:val="00A75E91"/>
    <w:rsid w:val="00A838B0"/>
    <w:rsid w:val="00A9107E"/>
    <w:rsid w:val="00AB08B8"/>
    <w:rsid w:val="00AB1374"/>
    <w:rsid w:val="00AD6842"/>
    <w:rsid w:val="00AF1F57"/>
    <w:rsid w:val="00B02150"/>
    <w:rsid w:val="00B20B48"/>
    <w:rsid w:val="00B55EC2"/>
    <w:rsid w:val="00B94410"/>
    <w:rsid w:val="00BA19EA"/>
    <w:rsid w:val="00BF08CD"/>
    <w:rsid w:val="00C102E0"/>
    <w:rsid w:val="00C1089F"/>
    <w:rsid w:val="00C26C5C"/>
    <w:rsid w:val="00C53B3A"/>
    <w:rsid w:val="00C75759"/>
    <w:rsid w:val="00CB769D"/>
    <w:rsid w:val="00CD7590"/>
    <w:rsid w:val="00CF77BE"/>
    <w:rsid w:val="00D12415"/>
    <w:rsid w:val="00D22BDC"/>
    <w:rsid w:val="00D26FD9"/>
    <w:rsid w:val="00D279B2"/>
    <w:rsid w:val="00D45329"/>
    <w:rsid w:val="00D7038E"/>
    <w:rsid w:val="00D705BC"/>
    <w:rsid w:val="00E21D73"/>
    <w:rsid w:val="00E352EA"/>
    <w:rsid w:val="00E60C90"/>
    <w:rsid w:val="00E8389A"/>
    <w:rsid w:val="00EC5D1C"/>
    <w:rsid w:val="00EE1C9F"/>
    <w:rsid w:val="00EE7392"/>
    <w:rsid w:val="00EF4668"/>
    <w:rsid w:val="00F26139"/>
    <w:rsid w:val="00F40725"/>
    <w:rsid w:val="00F57CA1"/>
    <w:rsid w:val="00F6032A"/>
    <w:rsid w:val="00F85E55"/>
    <w:rsid w:val="00FA21AA"/>
    <w:rsid w:val="00FB0F2F"/>
    <w:rsid w:val="00FC6FBD"/>
    <w:rsid w:val="00FE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cuments\&#213;ppet&#246;&#246;\Kasutegu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t-EE"/>
  <c:style val="1"/>
  <c:chart>
    <c:plotArea>
      <c:layout>
        <c:manualLayout>
          <c:layoutTarget val="inner"/>
          <c:xMode val="edge"/>
          <c:yMode val="edge"/>
          <c:x val="0.16567768869063668"/>
          <c:y val="4.1684965435658555E-2"/>
          <c:w val="0.81136453065812963"/>
          <c:h val="0.80909726072973276"/>
        </c:manualLayout>
      </c:layout>
      <c:barChart>
        <c:barDir val="col"/>
        <c:grouping val="clustered"/>
        <c:ser>
          <c:idx val="0"/>
          <c:order val="0"/>
          <c:tx>
            <c:strRef>
              <c:f>Sheet1!$N$65</c:f>
              <c:strCache>
                <c:ptCount val="1"/>
                <c:pt idx="0">
                  <c:v>Kasutegur η(E loss)</c:v>
                </c:pt>
              </c:strCache>
            </c:strRef>
          </c:tx>
          <c:cat>
            <c:strRef>
              <c:f>Sheet1!$I$59:$I$62</c:f>
              <c:strCache>
                <c:ptCount val="4"/>
                <c:pt idx="0">
                  <c:v>TEA600</c:v>
                </c:pt>
                <c:pt idx="1">
                  <c:v>TEA800</c:v>
                </c:pt>
                <c:pt idx="2">
                  <c:v>EMI600</c:v>
                </c:pt>
                <c:pt idx="3">
                  <c:v>EMI800</c:v>
                </c:pt>
              </c:strCache>
            </c:strRef>
          </c:cat>
          <c:val>
            <c:numRef>
              <c:f>Sheet1!$J$59:$J$62</c:f>
              <c:numCache>
                <c:formatCode>General</c:formatCode>
                <c:ptCount val="4"/>
                <c:pt idx="0">
                  <c:v>1.4000000000000005E-2</c:v>
                </c:pt>
                <c:pt idx="1">
                  <c:v>1.0000000000000007E-2</c:v>
                </c:pt>
                <c:pt idx="2">
                  <c:v>1.0999999999999998E-2</c:v>
                </c:pt>
                <c:pt idx="3">
                  <c:v>1.2999999999999998E-2</c:v>
                </c:pt>
              </c:numCache>
            </c:numRef>
          </c:val>
        </c:ser>
        <c:ser>
          <c:idx val="1"/>
          <c:order val="1"/>
          <c:tx>
            <c:strRef>
              <c:f>Sheet1!$N$64</c:f>
              <c:strCache>
                <c:ptCount val="1"/>
                <c:pt idx="0">
                  <c:v>Kasutegur η(E in)</c:v>
                </c:pt>
              </c:strCache>
            </c:strRef>
          </c:tx>
          <c:cat>
            <c:strRef>
              <c:f>Sheet1!$I$59:$I$62</c:f>
              <c:strCache>
                <c:ptCount val="4"/>
                <c:pt idx="0">
                  <c:v>TEA600</c:v>
                </c:pt>
                <c:pt idx="1">
                  <c:v>TEA800</c:v>
                </c:pt>
                <c:pt idx="2">
                  <c:v>EMI600</c:v>
                </c:pt>
                <c:pt idx="3">
                  <c:v>EMI800</c:v>
                </c:pt>
              </c:strCache>
            </c:strRef>
          </c:cat>
          <c:val>
            <c:numRef>
              <c:f>Sheet1!$K$59:$K$62</c:f>
              <c:numCache>
                <c:formatCode>General</c:formatCode>
                <c:ptCount val="4"/>
                <c:pt idx="0">
                  <c:v>2.9000000000000011E-3</c:v>
                </c:pt>
                <c:pt idx="1">
                  <c:v>3.5000000000000035E-3</c:v>
                </c:pt>
                <c:pt idx="2">
                  <c:v>4.2000000000000032E-3</c:v>
                </c:pt>
                <c:pt idx="3">
                  <c:v>2.600000000000002E-3</c:v>
                </c:pt>
              </c:numCache>
            </c:numRef>
          </c:val>
        </c:ser>
        <c:gapWidth val="300"/>
        <c:axId val="70096768"/>
        <c:axId val="84824832"/>
      </c:barChart>
      <c:catAx>
        <c:axId val="70096768"/>
        <c:scaling>
          <c:orientation val="minMax"/>
        </c:scaling>
        <c:axPos val="b"/>
        <c:numFmt formatCode="General" sourceLinked="1"/>
        <c:majorTickMark val="none"/>
        <c:tickLblPos val="nextTo"/>
        <c:crossAx val="84824832"/>
        <c:crosses val="autoZero"/>
        <c:auto val="1"/>
        <c:lblAlgn val="ctr"/>
        <c:lblOffset val="100"/>
      </c:catAx>
      <c:valAx>
        <c:axId val="84824832"/>
        <c:scaling>
          <c:orientation val="minMax"/>
          <c:max val="1.6000000000000035E-2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t-EE"/>
                  <a:t> </a:t>
                </a:r>
                <a:r>
                  <a:rPr lang="et-EE" b="0"/>
                  <a:t>Efektiivsus</a:t>
                </a:r>
                <a:r>
                  <a:rPr lang="et-EE" b="0" baseline="0"/>
                  <a:t> </a:t>
                </a:r>
                <a:r>
                  <a:rPr lang="et-EE"/>
                  <a:t>[%]</a:t>
                </a:r>
              </a:p>
            </c:rich>
          </c:tx>
          <c:layout>
            <c:manualLayout>
              <c:xMode val="edge"/>
              <c:yMode val="edge"/>
              <c:x val="0"/>
              <c:y val="7.1652344826759709E-2"/>
            </c:manualLayout>
          </c:layout>
        </c:title>
        <c:numFmt formatCode="General" sourceLinked="1"/>
        <c:tickLblPos val="nextTo"/>
        <c:crossAx val="70096768"/>
        <c:crosses val="autoZero"/>
        <c:crossBetween val="between"/>
        <c:majorUnit val="4.0000000000000079E-3"/>
        <c:minorUnit val="4.0000000000000078E-4"/>
      </c:valAx>
    </c:plotArea>
    <c:legend>
      <c:legendPos val="r"/>
      <c:layout>
        <c:manualLayout>
          <c:xMode val="edge"/>
          <c:yMode val="edge"/>
          <c:x val="0.52423156220753908"/>
          <c:y val="5.0542237775833658E-2"/>
          <c:w val="0.33707852202120914"/>
          <c:h val="0.16743423738699381"/>
        </c:manualLayout>
      </c:layout>
      <c:overlay val="1"/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39B5-4D11-4AC3-8189-BAD128D8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8</Pages>
  <Words>2593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Janno</dc:creator>
  <cp:lastModifiedBy>Janno</cp:lastModifiedBy>
  <cp:revision>20</cp:revision>
  <dcterms:created xsi:type="dcterms:W3CDTF">2009-12-17T12:39:00Z</dcterms:created>
  <dcterms:modified xsi:type="dcterms:W3CDTF">2010-01-10T17:33:00Z</dcterms:modified>
</cp:coreProperties>
</file>