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D2" w:rsidRDefault="008B61D2">
      <w:pPr>
        <w:jc w:val="right"/>
        <w:rPr>
          <w:rFonts w:ascii="Arial" w:hAnsi="Arial"/>
          <w:b/>
          <w:kern w:val="0"/>
        </w:rPr>
      </w:pPr>
      <w:bookmarkStart w:id="0" w:name="PutConferenceHere"/>
      <w:r>
        <w:rPr>
          <w:rFonts w:ascii="Arial" w:hAnsi="Arial"/>
          <w:b/>
          <w:kern w:val="0"/>
        </w:rPr>
        <w:t xml:space="preserve">Proceedings of the Conference on </w:t>
      </w:r>
      <w:r w:rsidR="00120123">
        <w:rPr>
          <w:rFonts w:ascii="Arial" w:hAnsi="Arial"/>
          <w:b/>
          <w:kern w:val="0"/>
        </w:rPr>
        <w:t>Smart Materials, Adaptive Structures and Intelligent Systems</w:t>
      </w:r>
    </w:p>
    <w:p w:rsidR="008B61D2" w:rsidRDefault="00120123">
      <w:pPr>
        <w:jc w:val="right"/>
        <w:rPr>
          <w:rFonts w:ascii="Arial" w:hAnsi="Arial"/>
          <w:b/>
          <w:kern w:val="0"/>
        </w:rPr>
      </w:pPr>
      <w:r>
        <w:rPr>
          <w:rFonts w:ascii="Arial" w:hAnsi="Arial"/>
          <w:b/>
          <w:kern w:val="0"/>
        </w:rPr>
        <w:t>SMASIS</w:t>
      </w:r>
    </w:p>
    <w:p w:rsidR="008B61D2" w:rsidRDefault="00120123">
      <w:pPr>
        <w:jc w:val="right"/>
        <w:rPr>
          <w:rFonts w:ascii="Arial" w:hAnsi="Arial"/>
          <w:b/>
          <w:kern w:val="0"/>
        </w:rPr>
      </w:pPr>
      <w:r>
        <w:rPr>
          <w:rFonts w:ascii="Arial" w:hAnsi="Arial"/>
          <w:b/>
          <w:kern w:val="0"/>
        </w:rPr>
        <w:t>September</w:t>
      </w:r>
      <w:r w:rsidR="008B61D2">
        <w:rPr>
          <w:rFonts w:ascii="Arial" w:hAnsi="Arial"/>
          <w:b/>
          <w:kern w:val="0"/>
        </w:rPr>
        <w:t xml:space="preserve"> 1</w:t>
      </w:r>
      <w:r>
        <w:rPr>
          <w:rFonts w:ascii="Arial" w:hAnsi="Arial"/>
          <w:b/>
          <w:kern w:val="0"/>
        </w:rPr>
        <w:t>9-21</w:t>
      </w:r>
      <w:r w:rsidR="008B61D2">
        <w:rPr>
          <w:rFonts w:ascii="Arial" w:hAnsi="Arial"/>
          <w:b/>
          <w:kern w:val="0"/>
        </w:rPr>
        <w:t>, 20</w:t>
      </w:r>
      <w:r>
        <w:rPr>
          <w:rFonts w:ascii="Arial" w:hAnsi="Arial"/>
          <w:b/>
          <w:kern w:val="0"/>
        </w:rPr>
        <w:t>12</w:t>
      </w:r>
      <w:r w:rsidR="008B61D2">
        <w:rPr>
          <w:rFonts w:ascii="Arial" w:hAnsi="Arial"/>
          <w:b/>
          <w:kern w:val="0"/>
        </w:rPr>
        <w:t xml:space="preserve">, </w:t>
      </w:r>
      <w:r>
        <w:rPr>
          <w:rFonts w:ascii="Arial" w:hAnsi="Arial"/>
          <w:b/>
          <w:kern w:val="0"/>
        </w:rPr>
        <w:t>Stone Mountain</w:t>
      </w:r>
      <w:r w:rsidR="008B61D2">
        <w:rPr>
          <w:rFonts w:ascii="Arial" w:hAnsi="Arial"/>
          <w:b/>
          <w:kern w:val="0"/>
        </w:rPr>
        <w:t xml:space="preserve">, </w:t>
      </w:r>
      <w:r>
        <w:rPr>
          <w:rFonts w:ascii="Arial" w:hAnsi="Arial"/>
          <w:b/>
          <w:kern w:val="0"/>
        </w:rPr>
        <w:t>Georgia</w:t>
      </w:r>
      <w:r w:rsidR="008B61D2">
        <w:rPr>
          <w:rFonts w:ascii="Arial" w:hAnsi="Arial"/>
          <w:b/>
          <w:kern w:val="0"/>
        </w:rPr>
        <w:t>, USA</w:t>
      </w:r>
    </w:p>
    <w:p w:rsidR="008B61D2" w:rsidRDefault="008B61D2">
      <w:pPr>
        <w:pStyle w:val="DocumentNumber"/>
      </w:pPr>
      <w:bookmarkStart w:id="1" w:name="PutDocumentNumberHere"/>
      <w:bookmarkEnd w:id="0"/>
      <w:r>
        <w:t>Put paper number here</w:t>
      </w:r>
    </w:p>
    <w:bookmarkEnd w:id="1"/>
    <w:p w:rsidR="008B61D2" w:rsidRDefault="008B61D2">
      <w:pPr>
        <w:sectPr w:rsidR="008B61D2">
          <w:footerReference w:type="default" r:id="rId8"/>
          <w:type w:val="continuous"/>
          <w:pgSz w:w="12240" w:h="15840"/>
          <w:pgMar w:top="720" w:right="720" w:bottom="1440" w:left="720" w:header="720" w:footer="720" w:gutter="0"/>
          <w:cols w:space="720"/>
        </w:sectPr>
      </w:pPr>
    </w:p>
    <w:p w:rsidR="008B61D2" w:rsidRDefault="00120123">
      <w:proofErr w:type="gramStart"/>
      <w:r w:rsidRPr="00120123">
        <w:rPr>
          <w:rFonts w:ascii="Arial" w:hAnsi="Arial"/>
          <w:b/>
          <w:caps/>
          <w:sz w:val="24"/>
        </w:rPr>
        <w:lastRenderedPageBreak/>
        <w:t>Back-relaxation of carbon-based ionic electroactive polymer actuators.</w:t>
      </w:r>
      <w:proofErr w:type="gramEnd"/>
    </w:p>
    <w:p w:rsidR="008B61D2" w:rsidRDefault="008B61D2"/>
    <w:tbl>
      <w:tblPr>
        <w:tblW w:w="0" w:type="auto"/>
        <w:tblLayout w:type="fixed"/>
        <w:tblLook w:val="0000" w:firstRow="0" w:lastRow="0" w:firstColumn="0" w:lastColumn="0" w:noHBand="0" w:noVBand="0"/>
      </w:tblPr>
      <w:tblGrid>
        <w:gridCol w:w="4680"/>
        <w:gridCol w:w="4680"/>
      </w:tblGrid>
      <w:tr w:rsidR="008B61D2">
        <w:tblPrEx>
          <w:tblCellMar>
            <w:top w:w="0" w:type="dxa"/>
            <w:bottom w:w="0" w:type="dxa"/>
          </w:tblCellMar>
        </w:tblPrEx>
        <w:tc>
          <w:tcPr>
            <w:tcW w:w="4680" w:type="dxa"/>
          </w:tcPr>
          <w:p w:rsidR="007B2BF3" w:rsidRPr="007B2BF3" w:rsidRDefault="007B2BF3">
            <w:pPr>
              <w:pStyle w:val="Author"/>
            </w:pPr>
            <w:bookmarkStart w:id="2" w:name="PutAuthorsHere"/>
            <w:r w:rsidRPr="007B2BF3">
              <w:t>Author Name</w:t>
            </w:r>
          </w:p>
          <w:p w:rsidR="008B61D2" w:rsidRDefault="007B2BF3">
            <w:pPr>
              <w:pStyle w:val="Author"/>
              <w:rPr>
                <w:b w:val="0"/>
              </w:rPr>
            </w:pPr>
            <w:r>
              <w:rPr>
                <w:b w:val="0"/>
              </w:rPr>
              <w:t>Affiliation</w:t>
            </w:r>
          </w:p>
          <w:p w:rsidR="007B2BF3" w:rsidRPr="007B2BF3" w:rsidRDefault="007B2BF3" w:rsidP="007B2BF3">
            <w:pPr>
              <w:pStyle w:val="Affiliation"/>
            </w:pPr>
            <w:r>
              <w:t>City, State, Country</w:t>
            </w:r>
          </w:p>
        </w:tc>
        <w:tc>
          <w:tcPr>
            <w:tcW w:w="4680" w:type="dxa"/>
          </w:tcPr>
          <w:p w:rsidR="007B2BF3" w:rsidRPr="007B2BF3" w:rsidRDefault="007B2BF3" w:rsidP="007B2BF3">
            <w:pPr>
              <w:pStyle w:val="Author"/>
            </w:pPr>
            <w:r w:rsidRPr="007B2BF3">
              <w:t>Author Name</w:t>
            </w:r>
          </w:p>
          <w:p w:rsidR="007B2BF3" w:rsidRDefault="007B2BF3" w:rsidP="007B2BF3">
            <w:pPr>
              <w:pStyle w:val="Author"/>
              <w:rPr>
                <w:b w:val="0"/>
              </w:rPr>
            </w:pPr>
            <w:r>
              <w:rPr>
                <w:b w:val="0"/>
              </w:rPr>
              <w:t>Affiliation</w:t>
            </w:r>
          </w:p>
          <w:p w:rsidR="008B61D2" w:rsidRPr="007B2BF3" w:rsidRDefault="007B2BF3" w:rsidP="007B2BF3">
            <w:pPr>
              <w:pStyle w:val="Author"/>
              <w:rPr>
                <w:b w:val="0"/>
              </w:rPr>
            </w:pPr>
            <w:r w:rsidRPr="007B2BF3">
              <w:rPr>
                <w:b w:val="0"/>
              </w:rPr>
              <w:t>City, State, Country</w:t>
            </w:r>
          </w:p>
        </w:tc>
      </w:tr>
    </w:tbl>
    <w:p w:rsidR="008B61D2" w:rsidRDefault="008B61D2"/>
    <w:p w:rsidR="008B61D2" w:rsidRDefault="008B61D2"/>
    <w:tbl>
      <w:tblPr>
        <w:tblW w:w="0" w:type="auto"/>
        <w:tblLayout w:type="fixed"/>
        <w:tblLook w:val="0000" w:firstRow="0" w:lastRow="0" w:firstColumn="0" w:lastColumn="0" w:noHBand="0" w:noVBand="0"/>
      </w:tblPr>
      <w:tblGrid>
        <w:gridCol w:w="3125"/>
        <w:gridCol w:w="3125"/>
        <w:gridCol w:w="3125"/>
      </w:tblGrid>
      <w:tr w:rsidR="008B61D2">
        <w:tblPrEx>
          <w:tblCellMar>
            <w:top w:w="0" w:type="dxa"/>
            <w:bottom w:w="0" w:type="dxa"/>
          </w:tblCellMar>
        </w:tblPrEx>
        <w:tc>
          <w:tcPr>
            <w:tcW w:w="3125" w:type="dxa"/>
          </w:tcPr>
          <w:p w:rsidR="007B2BF3" w:rsidRPr="007B2BF3" w:rsidRDefault="007B2BF3" w:rsidP="007B2BF3">
            <w:pPr>
              <w:pStyle w:val="Author"/>
            </w:pPr>
            <w:r w:rsidRPr="007B2BF3">
              <w:t>Author Name</w:t>
            </w:r>
          </w:p>
          <w:p w:rsidR="007B2BF3" w:rsidRDefault="007B2BF3" w:rsidP="007B2BF3">
            <w:pPr>
              <w:pStyle w:val="Author"/>
              <w:rPr>
                <w:b w:val="0"/>
              </w:rPr>
            </w:pPr>
            <w:r>
              <w:rPr>
                <w:b w:val="0"/>
              </w:rPr>
              <w:t>Affiliation</w:t>
            </w:r>
          </w:p>
          <w:p w:rsidR="008B61D2" w:rsidRPr="007B2BF3" w:rsidRDefault="007B2BF3" w:rsidP="007B2BF3">
            <w:pPr>
              <w:pStyle w:val="Author"/>
              <w:rPr>
                <w:b w:val="0"/>
              </w:rPr>
            </w:pPr>
            <w:r w:rsidRPr="007B2BF3">
              <w:rPr>
                <w:b w:val="0"/>
              </w:rPr>
              <w:t>City, State, Country</w:t>
            </w:r>
          </w:p>
        </w:tc>
        <w:tc>
          <w:tcPr>
            <w:tcW w:w="3125" w:type="dxa"/>
          </w:tcPr>
          <w:p w:rsidR="007B2BF3" w:rsidRPr="007B2BF3" w:rsidRDefault="007B2BF3" w:rsidP="007B2BF3">
            <w:pPr>
              <w:pStyle w:val="Author"/>
            </w:pPr>
            <w:r w:rsidRPr="007B2BF3">
              <w:t>Author Name</w:t>
            </w:r>
          </w:p>
          <w:p w:rsidR="007B2BF3" w:rsidRDefault="007B2BF3" w:rsidP="007B2BF3">
            <w:pPr>
              <w:pStyle w:val="Author"/>
              <w:rPr>
                <w:b w:val="0"/>
              </w:rPr>
            </w:pPr>
            <w:r>
              <w:rPr>
                <w:b w:val="0"/>
              </w:rPr>
              <w:t>Affiliation</w:t>
            </w:r>
          </w:p>
          <w:p w:rsidR="008B61D2" w:rsidRPr="007B2BF3" w:rsidRDefault="007B2BF3" w:rsidP="007B2BF3">
            <w:pPr>
              <w:pStyle w:val="Author"/>
              <w:rPr>
                <w:b w:val="0"/>
              </w:rPr>
            </w:pPr>
            <w:r w:rsidRPr="007B2BF3">
              <w:rPr>
                <w:b w:val="0"/>
              </w:rPr>
              <w:t>City, State, Country</w:t>
            </w:r>
          </w:p>
        </w:tc>
        <w:tc>
          <w:tcPr>
            <w:tcW w:w="3125" w:type="dxa"/>
          </w:tcPr>
          <w:p w:rsidR="007B2BF3" w:rsidRPr="007B2BF3" w:rsidRDefault="007B2BF3" w:rsidP="007B2BF3">
            <w:pPr>
              <w:pStyle w:val="Author"/>
            </w:pPr>
            <w:r w:rsidRPr="007B2BF3">
              <w:t>Author name</w:t>
            </w:r>
          </w:p>
          <w:p w:rsidR="007B2BF3" w:rsidRDefault="007B2BF3" w:rsidP="007B2BF3">
            <w:pPr>
              <w:pStyle w:val="Author"/>
              <w:rPr>
                <w:b w:val="0"/>
              </w:rPr>
            </w:pPr>
            <w:r>
              <w:rPr>
                <w:b w:val="0"/>
              </w:rPr>
              <w:t>Affiliation</w:t>
            </w:r>
          </w:p>
          <w:p w:rsidR="008B61D2" w:rsidRPr="007B2BF3" w:rsidRDefault="007B2BF3" w:rsidP="007B2BF3">
            <w:pPr>
              <w:pStyle w:val="Author"/>
              <w:rPr>
                <w:b w:val="0"/>
              </w:rPr>
            </w:pPr>
            <w:r w:rsidRPr="007B2BF3">
              <w:rPr>
                <w:b w:val="0"/>
              </w:rPr>
              <w:t>City, State, Country</w:t>
            </w:r>
          </w:p>
        </w:tc>
      </w:tr>
    </w:tbl>
    <w:p w:rsidR="008B61D2" w:rsidRDefault="008B61D2"/>
    <w:bookmarkEnd w:id="2"/>
    <w:p w:rsidR="008B61D2" w:rsidRDefault="008B61D2"/>
    <w:p w:rsidR="008B61D2" w:rsidRDefault="008B61D2">
      <w:pPr>
        <w:sectPr w:rsidR="008B61D2">
          <w:type w:val="continuous"/>
          <w:pgSz w:w="12240" w:h="15840"/>
          <w:pgMar w:top="720" w:right="1440" w:bottom="1440" w:left="1440" w:header="720" w:footer="720" w:gutter="0"/>
          <w:cols w:space="720"/>
        </w:sectPr>
      </w:pPr>
    </w:p>
    <w:p w:rsidR="008B61D2" w:rsidRDefault="008B61D2">
      <w:pPr>
        <w:pStyle w:val="AbstractClauseTitle"/>
      </w:pPr>
      <w:r>
        <w:lastRenderedPageBreak/>
        <w:t>Abstract</w:t>
      </w:r>
    </w:p>
    <w:p w:rsidR="00120123" w:rsidRDefault="00120123" w:rsidP="00120123">
      <w:pPr>
        <w:pStyle w:val="BodyTextIndent"/>
      </w:pPr>
      <w:proofErr w:type="gramStart"/>
      <w:r>
        <w:t>Ionic electromechanically active polymers (IEAP) is</w:t>
      </w:r>
      <w:proofErr w:type="gramEnd"/>
      <w:r>
        <w:t xml:space="preserve"> one of two main classes of </w:t>
      </w:r>
      <w:proofErr w:type="spellStart"/>
      <w:r>
        <w:t>electroactive</w:t>
      </w:r>
      <w:proofErr w:type="spellEnd"/>
      <w:r>
        <w:t xml:space="preserve"> materials, where actuation is primarily caused by the displacement of ions inside the laminate. Perhaps the first and most distinguished IEAP is ionic polymer-metal composite (IPMC). In recent years the range of IEAP materials has been significantly extended by means of materials used for electrodes (e.g. </w:t>
      </w:r>
      <w:proofErr w:type="spellStart"/>
      <w:r>
        <w:t>nanoporous</w:t>
      </w:r>
      <w:proofErr w:type="spellEnd"/>
      <w:r>
        <w:t xml:space="preserve"> carbon, carbon nanotubes, etc.), separator membrane, as well as the electrolyte (e.g. ionic liquid). At first glance, all IEAPs seem similar in construction and bending behavior – but their actuation mechanisms can be significantly different.</w:t>
      </w:r>
    </w:p>
    <w:p w:rsidR="00120123" w:rsidRDefault="00120123" w:rsidP="00120123">
      <w:pPr>
        <w:pStyle w:val="BodyTextIndent"/>
      </w:pPr>
      <w:r>
        <w:t xml:space="preserve">Already since the very first reports about IPMC, the authors have described the „back-relaxation“ effect – an IPMC actuator excited with a DC input will slowly relax back towards its initial state. This effect appears clearly in slow driving signals and </w:t>
      </w:r>
      <w:proofErr w:type="gramStart"/>
      <w:r>
        <w:t>interferes</w:t>
      </w:r>
      <w:proofErr w:type="gramEnd"/>
      <w:r>
        <w:t xml:space="preserve"> the exact control of the actuators. Although one prevalent theory explains the effect with flow of the water molecules across the ion-exchange membrane, the dispute over the physical mechanism of back- relaxation of IPMC still continues.</w:t>
      </w:r>
    </w:p>
    <w:p w:rsidR="008B61D2" w:rsidRDefault="00120123" w:rsidP="00120123">
      <w:pPr>
        <w:pStyle w:val="BodyTextIndent"/>
      </w:pPr>
      <w:r>
        <w:t xml:space="preserve">We demonstrate that regardless of the absence of the fluent liquid, the IEAP actuators with electrodes made of carbon exhibit similar back-relaxation. It appears that the long-term behavior of carbon-based actuators and water-based IPMC is similar by means of their </w:t>
      </w:r>
      <w:proofErr w:type="spellStart"/>
      <w:r>
        <w:t>nonuniform</w:t>
      </w:r>
      <w:proofErr w:type="spellEnd"/>
      <w:r>
        <w:t xml:space="preserve"> transient spatial actuation, and </w:t>
      </w:r>
      <w:proofErr w:type="spellStart"/>
      <w:r>
        <w:t>nonuniform</w:t>
      </w:r>
      <w:proofErr w:type="spellEnd"/>
      <w:r>
        <w:t xml:space="preserve"> transient moment of force. Although the physical mechanisms of the actuation and back-relaxation of the different materials may be different, the resulting descriptive model fits to all of them and supposedly facilitates the long-term control of the actuators.</w:t>
      </w:r>
    </w:p>
    <w:p w:rsidR="008B61D2" w:rsidRDefault="008B61D2">
      <w:pPr>
        <w:pStyle w:val="NomenclatureClauseTitle"/>
      </w:pPr>
    </w:p>
    <w:p w:rsidR="008B61D2" w:rsidRDefault="008B61D2">
      <w:pPr>
        <w:pStyle w:val="NomenclatureClauseTitle"/>
        <w:spacing w:before="0"/>
      </w:pPr>
      <w:r>
        <w:t>INTRODUCTION</w:t>
      </w:r>
    </w:p>
    <w:p w:rsidR="008B61D2" w:rsidRDefault="008B61D2">
      <w:pPr>
        <w:pStyle w:val="NomenclatureClauseTitle"/>
        <w:tabs>
          <w:tab w:val="left" w:pos="360"/>
        </w:tabs>
        <w:spacing w:before="0"/>
        <w:rPr>
          <w:rFonts w:ascii="Times New Roman" w:eastAsia="MS Mincho" w:hAnsi="Times New Roman"/>
          <w:b w:val="0"/>
          <w:bCs/>
          <w:caps w:val="0"/>
        </w:rPr>
      </w:pPr>
      <w:r>
        <w:rPr>
          <w:rFonts w:ascii="Times New Roman" w:eastAsia="MS Mincho" w:hAnsi="Times New Roman"/>
        </w:rPr>
        <w:tab/>
      </w:r>
      <w:proofErr w:type="gramStart"/>
      <w:r w:rsidR="00E93097" w:rsidRPr="00E93097">
        <w:rPr>
          <w:rFonts w:ascii="Times New Roman" w:eastAsia="MS Mincho" w:hAnsi="Times New Roman"/>
          <w:b w:val="0"/>
          <w:bCs/>
          <w:caps w:val="0"/>
        </w:rPr>
        <w:t xml:space="preserve">Ionic </w:t>
      </w:r>
      <w:proofErr w:type="spellStart"/>
      <w:r w:rsidR="00E93097" w:rsidRPr="00E93097">
        <w:rPr>
          <w:rFonts w:ascii="Times New Roman" w:eastAsia="MS Mincho" w:hAnsi="Times New Roman"/>
          <w:b w:val="0"/>
          <w:bCs/>
          <w:caps w:val="0"/>
        </w:rPr>
        <w:t>electroactive</w:t>
      </w:r>
      <w:proofErr w:type="spellEnd"/>
      <w:r w:rsidR="00E93097" w:rsidRPr="00E93097">
        <w:rPr>
          <w:rFonts w:ascii="Times New Roman" w:eastAsia="MS Mincho" w:hAnsi="Times New Roman"/>
          <w:b w:val="0"/>
          <w:bCs/>
          <w:caps w:val="0"/>
        </w:rPr>
        <w:t xml:space="preserve"> polymers (IEAP) is</w:t>
      </w:r>
      <w:proofErr w:type="gramEnd"/>
      <w:r w:rsidR="00E93097" w:rsidRPr="00E93097">
        <w:rPr>
          <w:rFonts w:ascii="Times New Roman" w:eastAsia="MS Mincho" w:hAnsi="Times New Roman"/>
          <w:b w:val="0"/>
          <w:bCs/>
          <w:caps w:val="0"/>
        </w:rPr>
        <w:t xml:space="preserve"> a separate class of </w:t>
      </w:r>
      <w:proofErr w:type="spellStart"/>
      <w:r w:rsidR="00E93097" w:rsidRPr="00E93097">
        <w:rPr>
          <w:rFonts w:ascii="Times New Roman" w:eastAsia="MS Mincho" w:hAnsi="Times New Roman"/>
          <w:b w:val="0"/>
          <w:bCs/>
          <w:caps w:val="0"/>
        </w:rPr>
        <w:t>electroactive</w:t>
      </w:r>
      <w:proofErr w:type="spellEnd"/>
      <w:r w:rsidR="00E93097" w:rsidRPr="00E93097">
        <w:rPr>
          <w:rFonts w:ascii="Times New Roman" w:eastAsia="MS Mincho" w:hAnsi="Times New Roman"/>
          <w:b w:val="0"/>
          <w:bCs/>
          <w:caps w:val="0"/>
        </w:rPr>
        <w:t xml:space="preserve"> polymers, where the displacement of ions inside the material causes its shape change. Commonly, the IEAP </w:t>
      </w:r>
      <w:r w:rsidR="00E93097" w:rsidRPr="00E93097">
        <w:rPr>
          <w:rFonts w:ascii="Times New Roman" w:eastAsia="MS Mincho" w:hAnsi="Times New Roman"/>
          <w:b w:val="0"/>
          <w:bCs/>
          <w:caps w:val="0"/>
        </w:rPr>
        <w:lastRenderedPageBreak/>
        <w:t>material is a laminate consisting of some porous polymer between conductive surfaces serving as electrodes. The structure is swollen with some liquid, capable to dissociate into the opposite charged ions - electrolyte. Electric field applied between the electrodes, makes the ions moving between the electrodes. The effect is expressed as bending of the laminate</w:t>
      </w:r>
      <w:r>
        <w:rPr>
          <w:rFonts w:ascii="Times New Roman" w:eastAsia="MS Mincho" w:hAnsi="Times New Roman"/>
          <w:b w:val="0"/>
          <w:bCs/>
          <w:caps w:val="0"/>
        </w:rPr>
        <w:t>.</w:t>
      </w:r>
    </w:p>
    <w:p w:rsidR="00E93097" w:rsidRDefault="00E93097" w:rsidP="00E93097">
      <w:pPr>
        <w:pStyle w:val="BodyTextIndent"/>
      </w:pPr>
      <w:r>
        <w:t>Perhaps the first and most distinguished IEAP is the ionic polymer-metal composite (IPMC) [</w:t>
      </w:r>
      <w:proofErr w:type="spellStart"/>
      <w:r>
        <w:t>BarCoheni</w:t>
      </w:r>
      <w:proofErr w:type="spellEnd"/>
      <w:r>
        <w:t xml:space="preserve"> </w:t>
      </w:r>
      <w:proofErr w:type="spellStart"/>
      <w:r>
        <w:t>raamat</w:t>
      </w:r>
      <w:proofErr w:type="spellEnd"/>
      <w:r>
        <w:t xml:space="preserve">]. The term IPMC commonly refers to a material where an ionic polymer is used for the membrane, while the material of the electrodes is not prescribed. Supposedly the best known type of IPMC stands of the water-swollen </w:t>
      </w:r>
      <w:proofErr w:type="spellStart"/>
      <w:r>
        <w:t>nafion</w:t>
      </w:r>
      <w:proofErr w:type="spellEnd"/>
      <w:r>
        <w:t xml:space="preserve"> covered with platinum electrodes. When an electric field is applied between the electrodes, the positive hydrated </w:t>
      </w:r>
      <w:proofErr w:type="spellStart"/>
      <w:r>
        <w:t>cations</w:t>
      </w:r>
      <w:proofErr w:type="spellEnd"/>
      <w:r>
        <w:t xml:space="preserve"> move in the fixed network of negative ions of the polymer towards the negative charged surface, causing expansion of the polymer at one face and shrinkage at the opposite face. Figuratively, while one face of IPMC withers and shrinks, the opposite face becomes swollen with water and ions. As the result, the polymer network bends towards the shrinking face.</w:t>
      </w:r>
    </w:p>
    <w:p w:rsidR="00E93097" w:rsidRDefault="00E93097" w:rsidP="00E93097">
      <w:pPr>
        <w:pStyle w:val="BodyTextIndent"/>
      </w:pPr>
      <w:r>
        <w:t>In recent years, the concept of IEAP has been significantly broadened. The list of the electrolytes is replenished by the ionic liquids, and the conductivity of the electrodes is attained using non-metallic materials – oxides or allotropes of carbon. Moreover, the ionic polymer as membrane material may be replaced by some specific porous non-ionic polymers.</w:t>
      </w:r>
    </w:p>
    <w:p w:rsidR="00E93097" w:rsidRDefault="00E93097" w:rsidP="00E93097">
      <w:pPr>
        <w:pStyle w:val="BodyTextIndent"/>
      </w:pPr>
      <w:r>
        <w:t xml:space="preserve">One of the IEAP materials, where all the aforementioned replacements have been taken, is the Carbon-polymer composite (CPC). This concept means a type of ionic electromechanically active structure consisting of two carbon electrodes separated by an </w:t>
      </w:r>
      <w:proofErr w:type="spellStart"/>
      <w:r>
        <w:t>ion</w:t>
      </w:r>
      <w:proofErr w:type="spellEnd"/>
      <w:r>
        <w:t>-permeable polymer film. The role of the separator is to act as a reservoir for the electrolyte and to avoid electronic conductance between electrodes [</w:t>
      </w:r>
      <w:proofErr w:type="spellStart"/>
      <w:r>
        <w:t>Torop</w:t>
      </w:r>
      <w:proofErr w:type="spellEnd"/>
      <w:r>
        <w:t xml:space="preserve">], but unlike in the case of IPMC, it is not an ionic polymer. The whole CPC structure – separator membrane and electrodes – contains ionic liquid as electrolyte, similarly to the already familiar IPMC. In the sense of assembly, as well as the </w:t>
      </w:r>
      <w:r>
        <w:lastRenderedPageBreak/>
        <w:t xml:space="preserve">working principle this structure is similar to electric double-layer capacitors (EDLC). Their difference is based on the optimal congruence of the surface area of pores and the transport of the </w:t>
      </w:r>
      <w:proofErr w:type="gramStart"/>
      <w:r>
        <w:t>electrolyte[</w:t>
      </w:r>
      <w:proofErr w:type="spellStart"/>
      <w:proofErr w:type="gramEnd"/>
      <w:r>
        <w:t>IndrekCarbon</w:t>
      </w:r>
      <w:proofErr w:type="spellEnd"/>
      <w:r>
        <w:t xml:space="preserve">]. When voltage is applied between the surface electrodes, due to a combination of different charging and ionic effects the CPC laminate bends, i.e. behaves as an IEAP actuator. The rumors tell that the idea of CPC actuators is originated by the researchers of EDLCs complaining about their distending </w:t>
      </w:r>
      <w:proofErr w:type="spellStart"/>
      <w:r>
        <w:t>supercaps</w:t>
      </w:r>
      <w:proofErr w:type="spellEnd"/>
      <w:r>
        <w:t>...</w:t>
      </w:r>
    </w:p>
    <w:p w:rsidR="00E93097" w:rsidRDefault="00E93097" w:rsidP="00E93097">
      <w:pPr>
        <w:pStyle w:val="BodyTextIndent"/>
      </w:pPr>
      <w:r>
        <w:t>It is well-known that the actuation of IPMC, is accompanied with a spillover effect – back-relaxation [XX</w:t>
      </w:r>
      <w:proofErr w:type="gramStart"/>
      <w:r>
        <w:t>,XX</w:t>
      </w:r>
      <w:proofErr w:type="gramEnd"/>
      <w:r>
        <w:t>]. Back-relaxation is a phenomenon where the actuator, excited with a DC voltage, instead of holding its bent state, decays back towards its initial shape. This behavior is commonly treated as a shortcoming of IEAP actuators, decreasing their ability to deliver a constant peak force and hindering their exact control. There have been several attempts to slower the rate of back-relaxation by choosing an opportune combination of separator, electrodes or mobile ions [XX</w:t>
      </w:r>
      <w:proofErr w:type="gramStart"/>
      <w:r>
        <w:t>,XX</w:t>
      </w:r>
      <w:proofErr w:type="gramEnd"/>
      <w:r>
        <w:t>]. The dispute over the physical mechanism of back- relaxation of IPMC still continues, but one of the prevalent theories explains the effect with flow of the water molecules out of the ion-exchange membrane [</w:t>
      </w:r>
      <w:proofErr w:type="spellStart"/>
      <w:r>
        <w:t>NasserWu</w:t>
      </w:r>
      <w:proofErr w:type="spellEnd"/>
      <w:r>
        <w:t>].</w:t>
      </w:r>
    </w:p>
    <w:p w:rsidR="00E93097" w:rsidRDefault="00E93097" w:rsidP="00E93097">
      <w:pPr>
        <w:pStyle w:val="BodyTextIndent"/>
      </w:pPr>
      <w:r>
        <w:t xml:space="preserve">While the phenomenon of back-relaxation of aqueous IPMC is well-known and </w:t>
      </w:r>
      <w:proofErr w:type="spellStart"/>
      <w:r>
        <w:t>versatilely</w:t>
      </w:r>
      <w:proofErr w:type="spellEnd"/>
      <w:r>
        <w:t xml:space="preserve"> explained, the similar behavior of the other IEAPs is commonly suppressed. In most cases the attentive reader can detect the back-relaxation solely from the illustrative graphs describing the tip displacement of the actuators. One of the exceptions is reported by [Oh-Jung] as a distinctive property of the IEAP actuators with the electrodes consisting of multi-walled carbon nanotubes. The reason of the confidentiality may lie in the absence of a plausible explanation of back-relaxation of the so-called dry actuators. While the back-relaxation of the aqueous IPMC can be easily explained with the leak of water out of the membrane, this explanation is unsuitable in the case of non-fluent electrolyte.</w:t>
      </w:r>
    </w:p>
    <w:p w:rsidR="00E93097" w:rsidRPr="00E93097" w:rsidRDefault="00E93097" w:rsidP="00E93097">
      <w:pPr>
        <w:pStyle w:val="BodyTextIndent"/>
      </w:pPr>
      <w:r>
        <w:t xml:space="preserve">The objective of the current work is to demonstrate that the phenomenon of back-relaxation of CPC actuators exists regardless of the absence of the fluent liquid, and regardless of the membrane or electrode material. It appears that even without </w:t>
      </w:r>
      <w:proofErr w:type="spellStart"/>
      <w:r>
        <w:t>poring</w:t>
      </w:r>
      <w:proofErr w:type="spellEnd"/>
      <w:r>
        <w:t xml:space="preserve"> into the physical mechanisms of actuation and back-relaxation, by means of their transient spatial actuation and transient moment of force, the long-term behavior of the wet IPMC and dry carbonaceous actuators is just similar</w:t>
      </w:r>
      <w:r>
        <w:t>.</w:t>
      </w:r>
    </w:p>
    <w:p w:rsidR="008B61D2" w:rsidRDefault="00801BC6">
      <w:pPr>
        <w:pStyle w:val="NomenclatureClauseTitle"/>
      </w:pPr>
      <w:r>
        <w:t>Representation of relaxation</w:t>
      </w:r>
    </w:p>
    <w:p w:rsidR="008B61D2" w:rsidRDefault="00801BC6">
      <w:pPr>
        <w:pStyle w:val="BodyTextIndent"/>
      </w:pPr>
      <w:proofErr w:type="spellStart"/>
      <w:proofErr w:type="gramStart"/>
      <w:r>
        <w:t>Vektor</w:t>
      </w:r>
      <w:proofErr w:type="spellEnd"/>
      <w:r>
        <w:t xml:space="preserve"> </w:t>
      </w:r>
      <w:proofErr w:type="spellStart"/>
      <w:r>
        <w:t>esitus</w:t>
      </w:r>
      <w:proofErr w:type="spellEnd"/>
      <w:r>
        <w:t>.</w:t>
      </w:r>
      <w:proofErr w:type="gramEnd"/>
      <w:r>
        <w:t xml:space="preserve"> </w:t>
      </w:r>
      <w:proofErr w:type="spellStart"/>
      <w:proofErr w:type="gramStart"/>
      <w:r>
        <w:t>Miks</w:t>
      </w:r>
      <w:proofErr w:type="spellEnd"/>
      <w:r>
        <w:t xml:space="preserve"> </w:t>
      </w:r>
      <w:proofErr w:type="spellStart"/>
      <w:r>
        <w:t>vajalik</w:t>
      </w:r>
      <w:proofErr w:type="spellEnd"/>
      <w:r>
        <w:t xml:space="preserve">, </w:t>
      </w:r>
      <w:proofErr w:type="spellStart"/>
      <w:r>
        <w:t>kuidas</w:t>
      </w:r>
      <w:proofErr w:type="spellEnd"/>
      <w:r>
        <w:t xml:space="preserve"> </w:t>
      </w:r>
      <w:proofErr w:type="spellStart"/>
      <w:r>
        <w:t>esitame</w:t>
      </w:r>
      <w:proofErr w:type="spellEnd"/>
      <w:r w:rsidR="008B61D2">
        <w:t>.</w:t>
      </w:r>
      <w:proofErr w:type="gramEnd"/>
      <w:r w:rsidR="00993AA8">
        <w:t xml:space="preserve"> </w:t>
      </w:r>
      <w:proofErr w:type="spellStart"/>
      <w:r w:rsidR="00993AA8">
        <w:t>Tagasivajumine</w:t>
      </w:r>
      <w:proofErr w:type="spellEnd"/>
      <w:r w:rsidR="00993AA8">
        <w:t xml:space="preserve"> </w:t>
      </w:r>
      <w:proofErr w:type="spellStart"/>
      <w:r w:rsidR="00993AA8">
        <w:t>esitatav</w:t>
      </w:r>
      <w:proofErr w:type="spellEnd"/>
      <w:r w:rsidR="00993AA8">
        <w:t xml:space="preserve"> </w:t>
      </w:r>
      <w:proofErr w:type="spellStart"/>
      <w:r w:rsidR="00993AA8">
        <w:t>momentide</w:t>
      </w:r>
      <w:proofErr w:type="spellEnd"/>
      <w:r w:rsidR="00993AA8">
        <w:t xml:space="preserve"> </w:t>
      </w:r>
      <w:proofErr w:type="spellStart"/>
      <w:r w:rsidR="00993AA8">
        <w:t>kaudu</w:t>
      </w:r>
      <w:proofErr w:type="spellEnd"/>
      <w:r w:rsidR="00993AA8">
        <w:t xml:space="preserve">, </w:t>
      </w:r>
      <w:proofErr w:type="spellStart"/>
      <w:r w:rsidR="00993AA8">
        <w:t>aga</w:t>
      </w:r>
      <w:proofErr w:type="spellEnd"/>
      <w:r w:rsidR="00993AA8">
        <w:t xml:space="preserve"> </w:t>
      </w:r>
      <w:proofErr w:type="spellStart"/>
      <w:r w:rsidR="00993AA8">
        <w:t>ei</w:t>
      </w:r>
      <w:proofErr w:type="spellEnd"/>
      <w:r w:rsidR="00993AA8">
        <w:t xml:space="preserve"> </w:t>
      </w:r>
      <w:proofErr w:type="spellStart"/>
      <w:r w:rsidR="00993AA8">
        <w:t>uuri</w:t>
      </w:r>
      <w:proofErr w:type="spellEnd"/>
      <w:r w:rsidR="00993AA8">
        <w:t xml:space="preserve"> </w:t>
      </w:r>
      <w:proofErr w:type="spellStart"/>
      <w:r w:rsidR="00993AA8">
        <w:t>eraldi</w:t>
      </w:r>
      <w:proofErr w:type="spellEnd"/>
      <w:r w:rsidR="00993AA8">
        <w:t xml:space="preserve"> E </w:t>
      </w:r>
      <w:proofErr w:type="spellStart"/>
      <w:proofErr w:type="gramStart"/>
      <w:r w:rsidR="00993AA8">
        <w:t>ja</w:t>
      </w:r>
      <w:proofErr w:type="spellEnd"/>
      <w:proofErr w:type="gramEnd"/>
      <w:r w:rsidR="00993AA8">
        <w:t xml:space="preserve"> I </w:t>
      </w:r>
      <w:proofErr w:type="spellStart"/>
      <w:r w:rsidR="00993AA8">
        <w:t>väärtusi</w:t>
      </w:r>
      <w:proofErr w:type="spellEnd"/>
      <w:r w:rsidR="00993AA8">
        <w:t xml:space="preserve"> </w:t>
      </w:r>
      <w:proofErr w:type="spellStart"/>
      <w:r w:rsidR="00993AA8">
        <w:t>vaid</w:t>
      </w:r>
      <w:proofErr w:type="spellEnd"/>
      <w:r w:rsidR="00993AA8">
        <w:t xml:space="preserve"> </w:t>
      </w:r>
      <w:proofErr w:type="spellStart"/>
      <w:r w:rsidR="00993AA8">
        <w:t>tähistatame</w:t>
      </w:r>
      <w:proofErr w:type="spellEnd"/>
      <w:r w:rsidR="00993AA8">
        <w:t xml:space="preserve"> </w:t>
      </w:r>
      <w:proofErr w:type="spellStart"/>
      <w:r w:rsidR="00993AA8">
        <w:t>kogu</w:t>
      </w:r>
      <w:proofErr w:type="spellEnd"/>
      <w:r w:rsidR="00993AA8">
        <w:t xml:space="preserve"> </w:t>
      </w:r>
      <w:proofErr w:type="spellStart"/>
      <w:r w:rsidR="00993AA8">
        <w:t>konstandinduse</w:t>
      </w:r>
      <w:proofErr w:type="spellEnd"/>
      <w:r w:rsidR="00993AA8">
        <w:t xml:space="preserve"> </w:t>
      </w:r>
      <w:proofErr w:type="spellStart"/>
      <w:r w:rsidR="00993AA8">
        <w:t>müü-ga</w:t>
      </w:r>
      <w:proofErr w:type="spellEnd"/>
      <w:r w:rsidR="00993AA8">
        <w:t xml:space="preserve"> </w:t>
      </w:r>
      <w:proofErr w:type="spellStart"/>
      <w:r w:rsidR="00993AA8">
        <w:t>ja</w:t>
      </w:r>
      <w:proofErr w:type="spellEnd"/>
      <w:r w:rsidR="00993AA8">
        <w:t xml:space="preserve"> </w:t>
      </w:r>
      <w:proofErr w:type="spellStart"/>
      <w:r w:rsidR="00993AA8">
        <w:t>näitame</w:t>
      </w:r>
      <w:proofErr w:type="spellEnd"/>
      <w:r w:rsidR="00993AA8">
        <w:t xml:space="preserve"> </w:t>
      </w:r>
      <w:proofErr w:type="spellStart"/>
      <w:r w:rsidR="00993AA8">
        <w:t>tagasivajumise</w:t>
      </w:r>
      <w:proofErr w:type="spellEnd"/>
      <w:r w:rsidR="00993AA8">
        <w:t xml:space="preserve"> </w:t>
      </w:r>
      <w:proofErr w:type="spellStart"/>
      <w:r w:rsidR="00993AA8">
        <w:t>kõveruse</w:t>
      </w:r>
      <w:proofErr w:type="spellEnd"/>
      <w:r w:rsidR="006012FA">
        <w:t>: EIBM/EI</w:t>
      </w:r>
      <w:r w:rsidR="00993AA8">
        <w:t xml:space="preserve">, </w:t>
      </w:r>
      <w:proofErr w:type="spellStart"/>
      <w:r w:rsidR="00993AA8">
        <w:t>mis</w:t>
      </w:r>
      <w:proofErr w:type="spellEnd"/>
      <w:r w:rsidR="00993AA8">
        <w:t xml:space="preserve"> on </w:t>
      </w:r>
      <w:proofErr w:type="spellStart"/>
      <w:r w:rsidR="00993AA8">
        <w:t>antud</w:t>
      </w:r>
      <w:proofErr w:type="spellEnd"/>
      <w:r w:rsidR="00993AA8">
        <w:t xml:space="preserve"> </w:t>
      </w:r>
      <w:proofErr w:type="spellStart"/>
      <w:r w:rsidR="00993AA8">
        <w:t>juhul</w:t>
      </w:r>
      <w:proofErr w:type="spellEnd"/>
      <w:r w:rsidR="00993AA8">
        <w:t xml:space="preserve"> </w:t>
      </w:r>
      <w:proofErr w:type="spellStart"/>
      <w:r w:rsidR="00993AA8">
        <w:t>sama</w:t>
      </w:r>
      <w:proofErr w:type="spellEnd"/>
      <w:r w:rsidR="00993AA8">
        <w:t xml:space="preserve"> </w:t>
      </w:r>
      <w:proofErr w:type="spellStart"/>
      <w:r w:rsidR="00993AA8">
        <w:t>kui</w:t>
      </w:r>
      <w:proofErr w:type="spellEnd"/>
      <w:r w:rsidR="00993AA8">
        <w:t xml:space="preserve"> BRBM </w:t>
      </w:r>
      <w:proofErr w:type="spellStart"/>
      <w:r w:rsidR="00993AA8">
        <w:t>ainult</w:t>
      </w:r>
      <w:proofErr w:type="spellEnd"/>
      <w:r w:rsidR="00993AA8">
        <w:t xml:space="preserve"> </w:t>
      </w:r>
      <w:proofErr w:type="spellStart"/>
      <w:r w:rsidR="00993AA8">
        <w:t>vertikaaltelg</w:t>
      </w:r>
      <w:proofErr w:type="spellEnd"/>
      <w:r w:rsidR="00993AA8">
        <w:t xml:space="preserve"> </w:t>
      </w:r>
      <w:proofErr w:type="spellStart"/>
      <w:r w:rsidR="00993AA8">
        <w:t>erineb</w:t>
      </w:r>
      <w:proofErr w:type="spellEnd"/>
      <w:r w:rsidR="00993AA8">
        <w:t xml:space="preserve"> EI </w:t>
      </w:r>
      <w:proofErr w:type="spellStart"/>
      <w:r w:rsidR="00993AA8">
        <w:t>korra</w:t>
      </w:r>
      <w:proofErr w:type="spellEnd"/>
      <w:r w:rsidR="00993AA8">
        <w:t>. UUS USSI JOONIS KOOS FII-</w:t>
      </w:r>
      <w:proofErr w:type="spellStart"/>
      <w:r w:rsidR="00993AA8">
        <w:t>dega</w:t>
      </w:r>
      <w:proofErr w:type="spellEnd"/>
      <w:r w:rsidR="00993AA8">
        <w:t xml:space="preserve"> </w:t>
      </w:r>
    </w:p>
    <w:p w:rsidR="00801BC6" w:rsidRDefault="00801BC6" w:rsidP="00801BC6">
      <w:pPr>
        <w:pStyle w:val="NomenclatureClauseTitle"/>
      </w:pPr>
      <w:r>
        <w:t>Bending moments</w:t>
      </w:r>
    </w:p>
    <w:p w:rsidR="00801BC6" w:rsidRDefault="00801BC6" w:rsidP="00801BC6">
      <w:pPr>
        <w:pStyle w:val="BodyTextIndent"/>
      </w:pPr>
      <w:r>
        <w:t xml:space="preserve">For characterization of the force or curvature output of the actuator, one needs to have an overview of bending moment </w:t>
      </w:r>
      <w:r>
        <w:lastRenderedPageBreak/>
        <w:t>distribution of the beam. Depending on the configuration of the beam e.g. simply supported, cantilevered, clamped at both ends, the bending moment distribution can be totally different. In this paper, the actuator, with a cross-section of a rectangle, is set up in cantilevered configuration. In that way, the corresponding bending moment can be directly derived from curvature according to the Euler-Bernoulli law: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
        <w:gridCol w:w="4104"/>
        <w:gridCol w:w="513"/>
      </w:tblGrid>
      <w:tr w:rsidR="00CB092F" w:rsidTr="000F3898">
        <w:tc>
          <w:tcPr>
            <w:tcW w:w="500" w:type="pct"/>
            <w:vAlign w:val="center"/>
          </w:tcPr>
          <w:p w:rsidR="00CB092F" w:rsidRDefault="00CB092F" w:rsidP="00CB092F">
            <w:pPr>
              <w:pStyle w:val="BodyTextIndent"/>
              <w:ind w:firstLine="0"/>
              <w:jc w:val="center"/>
            </w:pPr>
          </w:p>
        </w:tc>
        <w:tc>
          <w:tcPr>
            <w:tcW w:w="4000" w:type="pct"/>
            <w:vAlign w:val="center"/>
          </w:tcPr>
          <w:p w:rsidR="00CB092F" w:rsidRDefault="000F3898" w:rsidP="00CB092F">
            <w:pPr>
              <w:pStyle w:val="BodyTextIndent"/>
              <w:ind w:firstLine="0"/>
              <w:jc w:val="center"/>
            </w:pPr>
            <m:oMathPara>
              <m:oMath>
                <m:f>
                  <m:fPr>
                    <m:ctrlPr>
                      <w:rPr>
                        <w:rFonts w:ascii="Cambria Math" w:hAnsi="Cambria Math"/>
                        <w:i/>
                      </w:rPr>
                    </m:ctrlPr>
                  </m:fPr>
                  <m:num>
                    <m:r>
                      <w:rPr>
                        <w:rFonts w:ascii="Cambria Math" w:hAnsi="Cambria Math"/>
                      </w:rPr>
                      <m:t>dφ</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M(s)</m:t>
                    </m:r>
                  </m:num>
                  <m:den>
                    <m:r>
                      <w:rPr>
                        <w:rFonts w:ascii="Cambria Math" w:hAnsi="Cambria Math"/>
                      </w:rPr>
                      <m:t>EI</m:t>
                    </m:r>
                  </m:den>
                </m:f>
              </m:oMath>
            </m:oMathPara>
          </w:p>
        </w:tc>
        <w:tc>
          <w:tcPr>
            <w:tcW w:w="500" w:type="pct"/>
            <w:vAlign w:val="center"/>
          </w:tcPr>
          <w:p w:rsidR="00CB092F" w:rsidRDefault="00CB092F" w:rsidP="00CB092F">
            <w:pPr>
              <w:pStyle w:val="BodyTextIndent"/>
              <w:numPr>
                <w:ilvl w:val="0"/>
                <w:numId w:val="2"/>
              </w:numPr>
              <w:ind w:left="357" w:hanging="357"/>
              <w:jc w:val="center"/>
            </w:pPr>
          </w:p>
        </w:tc>
      </w:tr>
    </w:tbl>
    <w:p w:rsidR="00801BC6" w:rsidRDefault="00801BC6" w:rsidP="00CB092F">
      <w:pPr>
        <w:pStyle w:val="BodyTextIndent"/>
        <w:ind w:firstLine="0"/>
      </w:pPr>
      <w:proofErr w:type="gramStart"/>
      <w:r>
        <w:t>where</w:t>
      </w:r>
      <w:proofErr w:type="gramEnd"/>
      <w:r>
        <w:t xml:space="preserve"> E is the modulus of elasticity and I is the second moment of area. For rectangular cross-section, the second moment of area is expressed </w:t>
      </w:r>
      <w:proofErr w:type="gramStart"/>
      <w:r>
        <w:t>as</w:t>
      </w:r>
      <w:r w:rsidR="00CB092F">
        <w:t xml:space="preserve"> </w:t>
      </w:r>
      <w:proofErr w:type="gramEnd"/>
      <m:oMath>
        <m:r>
          <w:rPr>
            <w:rFonts w:ascii="Cambria Math" w:hAnsi="Cambria Math"/>
          </w:rPr>
          <m:t>I=</m:t>
        </m:r>
        <m:f>
          <m:fPr>
            <m:type m:val="lin"/>
            <m:ctrlPr>
              <w:rPr>
                <w:rFonts w:ascii="Cambria Math" w:hAnsi="Cambria Math"/>
                <w:i/>
              </w:rPr>
            </m:ctrlPr>
          </m:fPr>
          <m:num>
            <m:r>
              <w:rPr>
                <w:rFonts w:ascii="Cambria Math" w:hAnsi="Cambria Math"/>
              </w:rPr>
              <m:t>b</m:t>
            </m:r>
            <m:sSup>
              <m:sSupPr>
                <m:ctrlPr>
                  <w:rPr>
                    <w:rFonts w:ascii="Cambria Math" w:hAnsi="Cambria Math"/>
                    <w:i/>
                  </w:rPr>
                </m:ctrlPr>
              </m:sSupPr>
              <m:e>
                <m:r>
                  <w:rPr>
                    <w:rFonts w:ascii="Cambria Math" w:hAnsi="Cambria Math"/>
                  </w:rPr>
                  <m:t>h</m:t>
                </m:r>
              </m:e>
              <m:sup>
                <m:r>
                  <w:rPr>
                    <w:rFonts w:ascii="Cambria Math" w:hAnsi="Cambria Math"/>
                  </w:rPr>
                  <m:t>3</m:t>
                </m:r>
              </m:sup>
            </m:sSup>
          </m:num>
          <m:den>
            <m:r>
              <w:rPr>
                <w:rFonts w:ascii="Cambria Math" w:hAnsi="Cambria Math"/>
              </w:rPr>
              <m:t>12</m:t>
            </m:r>
          </m:den>
        </m:f>
      </m:oMath>
      <w:r w:rsidR="00223661">
        <w:t xml:space="preserve">, </w:t>
      </w:r>
      <w:r>
        <w:t>where b and h are width and height of the cross-section of the sample respectively.</w:t>
      </w:r>
    </w:p>
    <w:p w:rsidR="00CB092F" w:rsidRDefault="00CB092F" w:rsidP="00CB092F">
      <w:pPr>
        <w:pStyle w:val="BodyTextIndent"/>
        <w:ind w:firstLine="0"/>
      </w:pPr>
      <w:r w:rsidRPr="00CC5C4B">
        <w:rPr>
          <w:noProof/>
          <w:lang w:eastAsia="et-EE"/>
        </w:rPr>
        <w:drawing>
          <wp:inline distT="0" distB="0" distL="0" distR="0" wp14:anchorId="285816DC" wp14:editId="5671C8A4">
            <wp:extent cx="1944806" cy="962621"/>
            <wp:effectExtent l="0" t="0" r="0" b="9525"/>
            <wp:docPr id="5" name="Picture 5" descr="D:\doktorantuur\joonised\MomentsAndOwnWeigh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torantuur\joonised\MomentsAndOwnWeight.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806" cy="962621"/>
                    </a:xfrm>
                    <a:prstGeom prst="rect">
                      <a:avLst/>
                    </a:prstGeom>
                    <a:noFill/>
                    <a:ln>
                      <a:noFill/>
                    </a:ln>
                  </pic:spPr>
                </pic:pic>
              </a:graphicData>
            </a:graphic>
          </wp:inline>
        </w:drawing>
      </w:r>
    </w:p>
    <w:p w:rsidR="00801BC6" w:rsidRDefault="00801BC6" w:rsidP="00801BC6">
      <w:pPr>
        <w:pStyle w:val="BodyTextIndent"/>
      </w:pPr>
      <w:r>
        <w:t>It must be noted that in the scope of current paper the inertia and mass of the actuator are ignored and we treat each time step as an independent static problem. The weight of the actuator is neglected by holding the actuator edgewise. Hence, the total bending moment, inducing the curvature, is the sum of EIBM and BRBM.</w:t>
      </w:r>
    </w:p>
    <w:p w:rsidR="00E93097" w:rsidRDefault="00801BC6" w:rsidP="00801BC6">
      <w:pPr>
        <w:pStyle w:val="BodyTextIndent"/>
      </w:pPr>
      <w:r>
        <w:t xml:space="preserve">The described methodic does not pose any restrictions to the shape of the actuator, it works as well when the second moment of inertia is not constant along the sample e.g. the sample is tapered, or its cross-section differs from rectangular. </w:t>
      </w:r>
      <w:proofErr w:type="gramStart"/>
      <w:r>
        <w:t>In our case the summarized bending moment of the time-dependent behavior of the sample presented in Fig. 1.</w:t>
      </w:r>
      <w:proofErr w:type="gramEnd"/>
      <w:r>
        <w:t xml:space="preserve"> </w:t>
      </w:r>
      <w:proofErr w:type="gramStart"/>
      <w:r>
        <w:t>reflects</w:t>
      </w:r>
      <w:proofErr w:type="gramEnd"/>
      <w:r>
        <w:t xml:space="preserve"> exactly its bending depicted in Fig. 6., yet in a different vertical scale.</w:t>
      </w:r>
    </w:p>
    <w:p w:rsidR="00CB092F" w:rsidRDefault="00CB092F" w:rsidP="00CB092F">
      <w:pPr>
        <w:pStyle w:val="NomenclatureClauseTitle"/>
      </w:pPr>
      <w:r>
        <w:t>Electro-mechanical model</w:t>
      </w:r>
    </w:p>
    <w:p w:rsidR="00CB092F" w:rsidRDefault="00CB092F" w:rsidP="00CB092F">
      <w:pPr>
        <w:pStyle w:val="BodyTextIndent"/>
      </w:pPr>
      <w:r w:rsidRPr="00CB092F">
        <w:t xml:space="preserve">In order to characterize the BRBM in terms of electrical input, we have to define electromechanical relation for EIBM. The sophisticated approach that considers distribution of curvature is published in [DM]. It declares that the bending of an IPMC actuator at any time and any point is caused by the charge carried over between the electrodes at that point by that time. The amount of charge is determined by the inhomogeneous transitory voltage that in turn is uneven due the electrical resistance of the electrodes. The electrical constituent of that model depicted in Fig. X resembles a sophisticated </w:t>
      </w:r>
      <w:proofErr w:type="spellStart"/>
      <w:r w:rsidRPr="00CB092F">
        <w:t>lossy</w:t>
      </w:r>
      <w:proofErr w:type="spellEnd"/>
      <w:r w:rsidRPr="00CB092F">
        <w:t xml:space="preserve"> RC transmission line. The conductivity of the electrodes of the IEAP material is represented by a series of resistances of the opposite electrodes Ra and </w:t>
      </w:r>
      <w:proofErr w:type="spellStart"/>
      <w:r w:rsidRPr="00CB092F">
        <w:t>Rb</w:t>
      </w:r>
      <w:proofErr w:type="spellEnd"/>
      <w:r w:rsidRPr="00CB092F">
        <w:t xml:space="preserve">, while the capacitance </w:t>
      </w:r>
      <w:proofErr w:type="gramStart"/>
      <w:r w:rsidRPr="00CB092F">
        <w:t>C,</w:t>
      </w:r>
      <w:proofErr w:type="gramEnd"/>
      <w:r w:rsidRPr="00CB092F">
        <w:t xml:space="preserve"> and the loss parameters G form the impedance of the material.</w:t>
      </w:r>
    </w:p>
    <w:p w:rsidR="00CB092F" w:rsidRDefault="00CB092F" w:rsidP="00CB092F">
      <w:pPr>
        <w:pStyle w:val="BodyTextIndent"/>
      </w:pPr>
      <w:r w:rsidRPr="00CC5C4B">
        <w:lastRenderedPageBreak/>
        <w:drawing>
          <wp:inline distT="0" distB="0" distL="0" distR="0" wp14:anchorId="3CC37AC7" wp14:editId="3249FB49">
            <wp:extent cx="2620370" cy="815924"/>
            <wp:effectExtent l="57150" t="57150" r="104140" b="1181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17797" cy="815123"/>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rsidR="00CB092F" w:rsidRDefault="00CB092F" w:rsidP="00801BC6">
      <w:pPr>
        <w:pStyle w:val="BodyTextIndent"/>
      </w:pPr>
      <w:r w:rsidRPr="00CB092F">
        <w:t>An advantage of this model is the existence of analytical solution for Heaviside step function. Hence, it is possible to compare the model against actual response e.g. by placing additional sensing electrodes along the actuator. The solution for Heaviside step input voltage is given by the following infinite sum: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
        <w:gridCol w:w="4104"/>
        <w:gridCol w:w="513"/>
      </w:tblGrid>
      <w:tr w:rsidR="000F3898" w:rsidTr="000F3898">
        <w:tc>
          <w:tcPr>
            <w:tcW w:w="500" w:type="pct"/>
            <w:vAlign w:val="center"/>
          </w:tcPr>
          <w:p w:rsidR="000F3898" w:rsidRDefault="000F3898" w:rsidP="00CB092F">
            <w:pPr>
              <w:pStyle w:val="BodyTextIndent"/>
              <w:ind w:firstLine="0"/>
              <w:jc w:val="center"/>
            </w:pPr>
          </w:p>
        </w:tc>
        <w:tc>
          <w:tcPr>
            <w:tcW w:w="4000" w:type="pct"/>
            <w:vAlign w:val="center"/>
          </w:tcPr>
          <w:p w:rsidR="000F3898" w:rsidRDefault="000F3898" w:rsidP="000F3898">
            <w:pPr>
              <w:pStyle w:val="BodyTextIndent"/>
              <w:ind w:firstLine="0"/>
              <w:jc w:val="center"/>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func>
                          <m:funcPr>
                            <m:ctrlPr>
                              <w:rPr>
                                <w:rFonts w:ascii="Cambria Math" w:hAnsi="Cambria Math"/>
                                <w:i/>
                              </w:rPr>
                            </m:ctrlPr>
                          </m:funcPr>
                          <m:fName>
                            <m: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2n-1</m:t>
                                    </m:r>
                                  </m:num>
                                  <m:den>
                                    <m:r>
                                      <w:rPr>
                                        <w:rFonts w:ascii="Cambria Math" w:hAnsi="Cambria Math"/>
                                      </w:rPr>
                                      <m:t>2L</m:t>
                                    </m:r>
                                  </m:den>
                                </m:f>
                                <m:r>
                                  <w:rPr>
                                    <w:rFonts w:ascii="Cambria Math" w:hAnsi="Cambria Math"/>
                                  </w:rPr>
                                  <m:t>πx</m:t>
                                </m:r>
                              </m:e>
                            </m:d>
                          </m:e>
                        </m:func>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t</m:t>
                            </m:r>
                          </m:sup>
                        </m:sSup>
                      </m:e>
                    </m:d>
                    <m:r>
                      <w:rPr>
                        <w:rFonts w:ascii="Cambria Math" w:hAnsi="Cambria Math"/>
                      </w:rPr>
                      <m:t>+</m:t>
                    </m:r>
                  </m:e>
                </m:nary>
              </m:oMath>
            </m:oMathPara>
          </w:p>
        </w:tc>
        <w:tc>
          <w:tcPr>
            <w:tcW w:w="500" w:type="pct"/>
            <w:vMerge w:val="restart"/>
            <w:vAlign w:val="center"/>
          </w:tcPr>
          <w:p w:rsidR="000F3898" w:rsidRDefault="000F3898" w:rsidP="000F3898">
            <w:pPr>
              <w:pStyle w:val="BodyTextIndent"/>
              <w:numPr>
                <w:ilvl w:val="0"/>
                <w:numId w:val="2"/>
              </w:numPr>
              <w:ind w:left="357" w:hanging="357"/>
              <w:jc w:val="center"/>
            </w:pPr>
          </w:p>
        </w:tc>
      </w:tr>
      <w:tr w:rsidR="000F3898" w:rsidTr="000F3898">
        <w:tc>
          <w:tcPr>
            <w:tcW w:w="500" w:type="pct"/>
            <w:vAlign w:val="center"/>
          </w:tcPr>
          <w:p w:rsidR="000F3898" w:rsidRDefault="000F3898" w:rsidP="00CB092F">
            <w:pPr>
              <w:pStyle w:val="BodyTextIndent"/>
              <w:ind w:firstLine="0"/>
              <w:jc w:val="center"/>
            </w:pPr>
          </w:p>
        </w:tc>
        <w:tc>
          <w:tcPr>
            <w:tcW w:w="4000" w:type="pct"/>
            <w:vAlign w:val="center"/>
          </w:tcPr>
          <w:p w:rsidR="000F3898" w:rsidRPr="000F3898" w:rsidRDefault="000F3898" w:rsidP="000F3898">
            <w:pPr>
              <w:pStyle w:val="BodyTextIndent"/>
              <w:ind w:firstLine="0"/>
              <w:jc w:val="center"/>
            </w:pPr>
            <m:oMathPara>
              <m:oMathParaPr>
                <m:jc m:val="right"/>
              </m:oMathParaPr>
              <m:oMath>
                <m:r>
                  <w:rPr>
                    <w:rFonts w:ascii="Cambria Math" w:hAnsi="Cambria Math"/>
                  </w:rPr>
                  <m:t>+</m:t>
                </m:r>
                <m:f>
                  <m:fPr>
                    <m:ctrlPr>
                      <w:rPr>
                        <w:rFonts w:ascii="Cambria Math" w:hAnsi="Cambria Math"/>
                        <w:i/>
                      </w:rPr>
                    </m:ctrlPr>
                  </m:fPr>
                  <m:num>
                    <m:func>
                      <m:funcPr>
                        <m:ctrlPr>
                          <w:rPr>
                            <w:rFonts w:ascii="Cambria Math" w:hAnsi="Cambria Math"/>
                            <w:i/>
                          </w:rPr>
                        </m:ctrlPr>
                      </m:funcPr>
                      <m:fName>
                        <m:r>
                          <w:rPr>
                            <w:rFonts w:ascii="Cambria Math" w:hAnsi="Cambria Math"/>
                          </w:rPr>
                          <m:t>cosh</m:t>
                        </m:r>
                      </m:fName>
                      <m:e>
                        <m:d>
                          <m:dPr>
                            <m:ctrlPr>
                              <w:rPr>
                                <w:rFonts w:ascii="Cambria Math" w:hAnsi="Cambria Math"/>
                                <w:i/>
                              </w:rPr>
                            </m:ctrlPr>
                          </m:dPr>
                          <m:e>
                            <m:rad>
                              <m:radPr>
                                <m:degHide m:val="1"/>
                                <m:ctrlPr>
                                  <w:rPr>
                                    <w:rFonts w:ascii="Cambria Math" w:hAnsi="Cambria Math"/>
                                    <w:i/>
                                  </w:rPr>
                                </m:ctrlPr>
                              </m:radPr>
                              <m:deg/>
                              <m:e>
                                <m:r>
                                  <w:rPr>
                                    <w:rFonts w:ascii="Cambria Math" w:hAnsi="Cambria Math"/>
                                  </w:rPr>
                                  <m:t>RG</m:t>
                                </m:r>
                              </m:e>
                            </m:rad>
                            <m:r>
                              <w:rPr>
                                <w:rFonts w:ascii="Cambria Math" w:hAnsi="Cambria Math"/>
                              </w:rPr>
                              <m:t>(x-L)</m:t>
                            </m:r>
                          </m:e>
                        </m:d>
                      </m:e>
                    </m:func>
                  </m:num>
                  <m:den>
                    <m:func>
                      <m:funcPr>
                        <m:ctrlPr>
                          <w:rPr>
                            <w:rFonts w:ascii="Cambria Math" w:hAnsi="Cambria Math"/>
                            <w:i/>
                          </w:rPr>
                        </m:ctrlPr>
                      </m:funcPr>
                      <m:fName>
                        <m:r>
                          <w:rPr>
                            <w:rFonts w:ascii="Cambria Math" w:hAnsi="Cambria Math"/>
                          </w:rPr>
                          <m:t>cosh</m:t>
                        </m:r>
                      </m:fName>
                      <m:e>
                        <m:d>
                          <m:dPr>
                            <m:ctrlPr>
                              <w:rPr>
                                <w:rFonts w:ascii="Cambria Math" w:hAnsi="Cambria Math"/>
                                <w:i/>
                              </w:rPr>
                            </m:ctrlPr>
                          </m:dPr>
                          <m:e>
                            <m:rad>
                              <m:radPr>
                                <m:degHide m:val="1"/>
                                <m:ctrlPr>
                                  <w:rPr>
                                    <w:rFonts w:ascii="Cambria Math" w:hAnsi="Cambria Math"/>
                                    <w:i/>
                                  </w:rPr>
                                </m:ctrlPr>
                              </m:radPr>
                              <m:deg/>
                              <m:e>
                                <m:r>
                                  <w:rPr>
                                    <w:rFonts w:ascii="Cambria Math" w:hAnsi="Cambria Math"/>
                                  </w:rPr>
                                  <m:t>RG</m:t>
                                </m:r>
                              </m:e>
                            </m:rad>
                            <m:r>
                              <w:rPr>
                                <w:rFonts w:ascii="Cambria Math" w:hAnsi="Cambria Math"/>
                              </w:rPr>
                              <m:t>L</m:t>
                            </m:r>
                          </m:e>
                        </m:d>
                      </m:e>
                    </m:func>
                  </m:den>
                </m:f>
              </m:oMath>
            </m:oMathPara>
          </w:p>
        </w:tc>
        <w:tc>
          <w:tcPr>
            <w:tcW w:w="500" w:type="pct"/>
            <w:vMerge/>
            <w:vAlign w:val="center"/>
          </w:tcPr>
          <w:p w:rsidR="000F3898" w:rsidRDefault="000F3898" w:rsidP="000F3898">
            <w:pPr>
              <w:pStyle w:val="BodyTextIndent"/>
              <w:ind w:left="360" w:firstLine="0"/>
              <w:jc w:val="center"/>
            </w:pPr>
          </w:p>
        </w:tc>
      </w:tr>
    </w:tbl>
    <w:p w:rsidR="00CB092F" w:rsidRDefault="000F3898" w:rsidP="0023586C">
      <w:pPr>
        <w:pStyle w:val="BodyTextIndent"/>
        <w:ind w:firstLine="0"/>
      </w:pPr>
      <w:proofErr w:type="gramStart"/>
      <w:r w:rsidRPr="000F3898">
        <w:t>where</w:t>
      </w:r>
      <w:proofErr w:type="gramEnd"/>
      <w:r w:rsidRPr="000F3898">
        <w:t xml:space="preserve"> L is the length of the sample,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
        <w:gridCol w:w="4104"/>
        <w:gridCol w:w="513"/>
      </w:tblGrid>
      <w:tr w:rsidR="000F3898" w:rsidTr="000F3898">
        <w:tc>
          <w:tcPr>
            <w:tcW w:w="500" w:type="pct"/>
            <w:vAlign w:val="center"/>
          </w:tcPr>
          <w:p w:rsidR="000F3898" w:rsidRDefault="000F3898" w:rsidP="00CB092F">
            <w:pPr>
              <w:pStyle w:val="BodyTextIndent"/>
              <w:ind w:firstLine="0"/>
              <w:jc w:val="center"/>
            </w:pPr>
          </w:p>
        </w:tc>
        <w:tc>
          <w:tcPr>
            <w:tcW w:w="4000" w:type="pct"/>
            <w:vAlign w:val="center"/>
          </w:tcPr>
          <w:p w:rsidR="000F3898" w:rsidRDefault="000F3898" w:rsidP="00CB092F">
            <w:pPr>
              <w:pStyle w:val="BodyTextIndent"/>
              <w:ind w:firstLine="0"/>
              <w:jc w:val="center"/>
            </w:pPr>
            <m:oMathPara>
              <m:oMath>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W</m:t>
                    </m:r>
                    <m:d>
                      <m:dPr>
                        <m:ctrlPr>
                          <w:rPr>
                            <w:rFonts w:ascii="Cambria Math" w:hAnsi="Cambria Math"/>
                            <w:i/>
                          </w:rPr>
                        </m:ctrlPr>
                      </m:dPr>
                      <m:e>
                        <m:r>
                          <w:rPr>
                            <w:rFonts w:ascii="Cambria Math" w:hAnsi="Cambria Math"/>
                          </w:rPr>
                          <m:t>4RG</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r>
                                  <w:rPr>
                                    <w:rFonts w:ascii="Cambria Math" w:hAnsi="Cambria Math"/>
                                  </w:rPr>
                                  <m:t>2n-1</m:t>
                                </m:r>
                              </m:e>
                            </m:d>
                          </m:e>
                          <m:sup>
                            <m:r>
                              <w:rPr>
                                <w:rFonts w:ascii="Cambria Math" w:hAnsi="Cambria Math"/>
                              </w:rPr>
                              <m:t>2</m:t>
                            </m:r>
                          </m:sup>
                        </m:sSup>
                      </m:e>
                    </m:d>
                  </m:num>
                  <m:den>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r>
                                  <w:rPr>
                                    <w:rFonts w:ascii="Cambria Math" w:hAnsi="Cambria Math"/>
                                  </w:rPr>
                                  <m:t>2n-1</m:t>
                                </m:r>
                              </m:e>
                            </m:d>
                          </m:e>
                          <m:sup>
                            <m:r>
                              <w:rPr>
                                <w:rFonts w:ascii="Cambria Math" w:hAnsi="Cambria Math"/>
                              </w:rPr>
                              <m:t>2</m:t>
                            </m:r>
                          </m:sup>
                        </m:sSup>
                        <m:r>
                          <w:rPr>
                            <w:rFonts w:ascii="Cambria Math" w:hAnsi="Cambria Math"/>
                          </w:rPr>
                          <m:t>+4R</m:t>
                        </m:r>
                        <m:sSup>
                          <m:sSupPr>
                            <m:ctrlPr>
                              <w:rPr>
                                <w:rFonts w:ascii="Cambria Math" w:hAnsi="Cambria Math"/>
                                <w:i/>
                              </w:rPr>
                            </m:ctrlPr>
                          </m:sSupPr>
                          <m:e>
                            <m:r>
                              <w:rPr>
                                <w:rFonts w:ascii="Cambria Math" w:hAnsi="Cambria Math"/>
                              </w:rPr>
                              <m:t>L</m:t>
                            </m:r>
                          </m:e>
                          <m:sup>
                            <m:r>
                              <w:rPr>
                                <w:rFonts w:ascii="Cambria Math" w:hAnsi="Cambria Math"/>
                              </w:rPr>
                              <m:t>2</m:t>
                            </m:r>
                          </m:sup>
                        </m:sSup>
                        <m:d>
                          <m:dPr>
                            <m:ctrlPr>
                              <w:rPr>
                                <w:rFonts w:ascii="Cambria Math" w:hAnsi="Cambria Math"/>
                                <w:i/>
                              </w:rPr>
                            </m:ctrlPr>
                          </m:dPr>
                          <m:e>
                            <m:r>
                              <w:rPr>
                                <w:rFonts w:ascii="Cambria Math" w:hAnsi="Cambria Math"/>
                              </w:rPr>
                              <m:t>G+W</m:t>
                            </m:r>
                          </m:e>
                        </m:d>
                      </m:e>
                    </m:d>
                  </m:den>
                </m:f>
                <m:r>
                  <w:rPr>
                    <w:rFonts w:ascii="Cambria Math" w:hAnsi="Cambria Math"/>
                  </w:rPr>
                  <m:t>,</m:t>
                </m:r>
              </m:oMath>
            </m:oMathPara>
          </w:p>
        </w:tc>
        <w:tc>
          <w:tcPr>
            <w:tcW w:w="500" w:type="pct"/>
            <w:vAlign w:val="center"/>
          </w:tcPr>
          <w:p w:rsidR="000F3898" w:rsidRDefault="000F3898" w:rsidP="000F3898">
            <w:pPr>
              <w:pStyle w:val="BodyTextIndent"/>
              <w:numPr>
                <w:ilvl w:val="0"/>
                <w:numId w:val="2"/>
              </w:numPr>
              <w:ind w:left="357" w:hanging="357"/>
              <w:jc w:val="center"/>
            </w:pPr>
          </w:p>
        </w:tc>
      </w:tr>
    </w:tbl>
    <w:p w:rsidR="000F3898" w:rsidRDefault="0023586C" w:rsidP="0023586C">
      <w:pPr>
        <w:pStyle w:val="BodyTextIndent"/>
        <w:ind w:firstLine="0"/>
      </w:pPr>
      <w:proofErr w:type="gramStart"/>
      <w:r>
        <w:t>and</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
        <w:gridCol w:w="4104"/>
        <w:gridCol w:w="513"/>
      </w:tblGrid>
      <w:tr w:rsidR="000F3898" w:rsidTr="000F3898">
        <w:tc>
          <w:tcPr>
            <w:tcW w:w="500" w:type="pct"/>
            <w:vAlign w:val="center"/>
          </w:tcPr>
          <w:p w:rsidR="000F3898" w:rsidRDefault="000F3898" w:rsidP="00CB092F">
            <w:pPr>
              <w:pStyle w:val="BodyTextIndent"/>
              <w:ind w:firstLine="0"/>
              <w:jc w:val="center"/>
            </w:pPr>
          </w:p>
        </w:tc>
        <w:tc>
          <w:tcPr>
            <w:tcW w:w="4000" w:type="pct"/>
            <w:vAlign w:val="center"/>
          </w:tcPr>
          <w:p w:rsidR="000F3898" w:rsidRDefault="000F3898" w:rsidP="00CB092F">
            <w:pPr>
              <w:pStyle w:val="BodyTextIndent"/>
              <w:ind w:firstLine="0"/>
              <w:jc w:val="center"/>
            </w:pPr>
            <m:oMathPara>
              <m:oMath>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4π</m:t>
                    </m:r>
                    <m:d>
                      <m:dPr>
                        <m:ctrlPr>
                          <w:rPr>
                            <w:rFonts w:ascii="Cambria Math" w:hAnsi="Cambria Math"/>
                            <w:i/>
                          </w:rPr>
                        </m:ctrlPr>
                      </m:dPr>
                      <m:e>
                        <m:r>
                          <w:rPr>
                            <w:rFonts w:ascii="Cambria Math" w:hAnsi="Cambria Math"/>
                          </w:rPr>
                          <m:t>2n-1</m:t>
                        </m:r>
                      </m:e>
                    </m:d>
                  </m:num>
                  <m:den>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r>
                              <w:rPr>
                                <w:rFonts w:ascii="Cambria Math" w:hAnsi="Cambria Math"/>
                              </w:rPr>
                              <m:t>2n-1</m:t>
                            </m:r>
                          </m:e>
                        </m:d>
                      </m:e>
                      <m:sup>
                        <m:r>
                          <w:rPr>
                            <w:rFonts w:ascii="Cambria Math" w:hAnsi="Cambria Math"/>
                          </w:rPr>
                          <m:t>2</m:t>
                        </m:r>
                      </m:sup>
                    </m:sSup>
                    <m:r>
                      <w:rPr>
                        <w:rFonts w:ascii="Cambria Math" w:hAnsi="Cambria Math"/>
                      </w:rPr>
                      <m:t>+4RG</m:t>
                    </m:r>
                    <m:sSup>
                      <m:sSupPr>
                        <m:ctrlPr>
                          <w:rPr>
                            <w:rFonts w:ascii="Cambria Math" w:hAnsi="Cambria Math"/>
                            <w:i/>
                          </w:rPr>
                        </m:ctrlPr>
                      </m:sSupPr>
                      <m:e>
                        <m:r>
                          <w:rPr>
                            <w:rFonts w:ascii="Cambria Math" w:hAnsi="Cambria Math"/>
                          </w:rPr>
                          <m:t>L</m:t>
                        </m:r>
                      </m:e>
                      <m:sup>
                        <m:r>
                          <w:rPr>
                            <w:rFonts w:ascii="Cambria Math" w:hAnsi="Cambria Math"/>
                          </w:rPr>
                          <m:t>2</m:t>
                        </m:r>
                      </m:sup>
                    </m:sSup>
                  </m:den>
                </m:f>
                <m:r>
                  <w:rPr>
                    <w:rFonts w:ascii="Cambria Math" w:hAnsi="Cambria Math"/>
                  </w:rPr>
                  <m:t>.</m:t>
                </m:r>
              </m:oMath>
            </m:oMathPara>
          </w:p>
        </w:tc>
        <w:tc>
          <w:tcPr>
            <w:tcW w:w="500" w:type="pct"/>
            <w:vAlign w:val="center"/>
          </w:tcPr>
          <w:p w:rsidR="000F3898" w:rsidRDefault="000F3898" w:rsidP="000F3898">
            <w:pPr>
              <w:pStyle w:val="BodyTextIndent"/>
              <w:numPr>
                <w:ilvl w:val="0"/>
                <w:numId w:val="2"/>
              </w:numPr>
              <w:ind w:left="357" w:hanging="357"/>
              <w:jc w:val="center"/>
            </w:pPr>
          </w:p>
        </w:tc>
      </w:tr>
    </w:tbl>
    <w:p w:rsidR="0023586C" w:rsidRPr="0023586C" w:rsidRDefault="0023586C" w:rsidP="0023586C">
      <w:pPr>
        <w:pStyle w:val="BodyTextIndent"/>
      </w:pPr>
      <w:r w:rsidRPr="0023586C">
        <w:t>It turns out that the complicated time-evolution of the voltage distribution on the line is defined solely by the measurable parameters: by impedance of the material, by the length of the sample, and by time. For a completely discharged line, the charge is expressed via voltage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
        <w:gridCol w:w="4104"/>
        <w:gridCol w:w="513"/>
      </w:tblGrid>
      <w:tr w:rsidR="0023586C" w:rsidTr="000F3898">
        <w:tc>
          <w:tcPr>
            <w:tcW w:w="500" w:type="pct"/>
            <w:vAlign w:val="center"/>
          </w:tcPr>
          <w:p w:rsidR="0023586C" w:rsidRDefault="0023586C" w:rsidP="00CB092F">
            <w:pPr>
              <w:pStyle w:val="BodyTextIndent"/>
              <w:ind w:firstLine="0"/>
              <w:jc w:val="center"/>
            </w:pPr>
          </w:p>
        </w:tc>
        <w:tc>
          <w:tcPr>
            <w:tcW w:w="4000" w:type="pct"/>
            <w:vAlign w:val="center"/>
          </w:tcPr>
          <w:p w:rsidR="0023586C" w:rsidRDefault="0023586C" w:rsidP="00CB092F">
            <w:pPr>
              <w:pStyle w:val="BodyTextIndent"/>
              <w:ind w:firstLine="0"/>
              <w:jc w:val="center"/>
            </w:pPr>
            <m:oMathPara>
              <m:oMath>
                <m:r>
                  <w:rPr>
                    <w:rFonts w:ascii="Cambria Math" w:hAnsi="Cambria Math"/>
                  </w:rPr>
                  <m:t>q</m:t>
                </m:r>
                <m:d>
                  <m:dPr>
                    <m:ctrlPr>
                      <w:rPr>
                        <w:rFonts w:ascii="Cambria Math" w:hAnsi="Cambria Math"/>
                        <w:i/>
                      </w:rPr>
                    </m:ctrlPr>
                  </m:dPr>
                  <m:e>
                    <m:r>
                      <w:rPr>
                        <w:rFonts w:ascii="Cambria Math" w:hAnsi="Cambria Math"/>
                      </w:rPr>
                      <m:t>x,t</m:t>
                    </m:r>
                  </m:e>
                </m:d>
                <m:r>
                  <w:rPr>
                    <w:rFonts w:ascii="Cambria Math" w:hAnsi="Cambria Math"/>
                  </w:rPr>
                  <m:t>=</m:t>
                </m:r>
                <m:d>
                  <m:dPr>
                    <m:ctrlPr>
                      <w:rPr>
                        <w:rFonts w:ascii="Cambria Math" w:hAnsi="Cambria Math"/>
                        <w:i/>
                      </w:rPr>
                    </m:ctrlPr>
                  </m:dPr>
                  <m:e>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Wu</m:t>
                        </m:r>
                        <m:d>
                          <m:dPr>
                            <m:ctrlPr>
                              <w:rPr>
                                <w:rFonts w:ascii="Cambria Math" w:hAnsi="Cambria Math"/>
                                <w:i/>
                              </w:rPr>
                            </m:ctrlPr>
                          </m:dPr>
                          <m:e>
                            <m:r>
                              <w:rPr>
                                <w:rFonts w:ascii="Cambria Math" w:hAnsi="Cambria Math"/>
                              </w:rPr>
                              <m:t>x,τ</m:t>
                            </m:r>
                          </m:e>
                        </m:d>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W</m:t>
                                </m:r>
                              </m:num>
                              <m:den>
                                <m:r>
                                  <w:rPr>
                                    <w:rFonts w:ascii="Cambria Math" w:hAnsi="Cambria Math"/>
                                  </w:rPr>
                                  <m:t>C</m:t>
                                </m:r>
                              </m:den>
                            </m:f>
                            <m:r>
                              <w:rPr>
                                <w:rFonts w:ascii="Cambria Math" w:hAnsi="Cambria Math"/>
                              </w:rPr>
                              <m:t>τ</m:t>
                            </m:r>
                          </m:sup>
                        </m:sSup>
                        <m:r>
                          <w:rPr>
                            <w:rFonts w:ascii="Cambria Math" w:hAnsi="Cambria Math"/>
                          </w:rPr>
                          <m:t>dτ</m:t>
                        </m:r>
                      </m:e>
                    </m:nary>
                  </m:e>
                </m:d>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W</m:t>
                        </m:r>
                      </m:num>
                      <m:den>
                        <m:r>
                          <w:rPr>
                            <w:rFonts w:ascii="Cambria Math" w:hAnsi="Cambria Math"/>
                          </w:rPr>
                          <m:t>C</m:t>
                        </m:r>
                      </m:den>
                    </m:f>
                    <m:r>
                      <w:rPr>
                        <w:rFonts w:ascii="Cambria Math" w:hAnsi="Cambria Math"/>
                      </w:rPr>
                      <m:t>t</m:t>
                    </m:r>
                  </m:sup>
                </m:sSup>
                <m:r>
                  <w:rPr>
                    <w:rFonts w:ascii="Cambria Math" w:hAnsi="Cambria Math"/>
                  </w:rPr>
                  <m:t>.</m:t>
                </m:r>
              </m:oMath>
            </m:oMathPara>
          </w:p>
        </w:tc>
        <w:tc>
          <w:tcPr>
            <w:tcW w:w="500" w:type="pct"/>
            <w:vAlign w:val="center"/>
          </w:tcPr>
          <w:p w:rsidR="0023586C" w:rsidRDefault="0023586C" w:rsidP="0023586C">
            <w:pPr>
              <w:pStyle w:val="BodyTextIndent"/>
              <w:numPr>
                <w:ilvl w:val="0"/>
                <w:numId w:val="2"/>
              </w:numPr>
              <w:ind w:left="357" w:hanging="357"/>
              <w:jc w:val="center"/>
            </w:pPr>
          </w:p>
        </w:tc>
      </w:tr>
    </w:tbl>
    <w:p w:rsidR="000F3898" w:rsidRDefault="0023586C" w:rsidP="00801BC6">
      <w:pPr>
        <w:pStyle w:val="BodyTextIndent"/>
      </w:pPr>
      <w:r w:rsidRPr="0023586C">
        <w:t xml:space="preserve">As an illustrative example, the simulated transient behavior of voltage and charge of the actuator depicted in Fig. </w:t>
      </w:r>
      <w:proofErr w:type="gramStart"/>
      <w:r w:rsidRPr="0023586C">
        <w:t>1.,</w:t>
      </w:r>
      <w:proofErr w:type="gramEnd"/>
      <w:r w:rsidRPr="0023586C">
        <w:t xml:space="preserve"> are given in Fig. 11.</w:t>
      </w:r>
    </w:p>
    <w:p w:rsidR="00CB092F" w:rsidRDefault="00CB092F" w:rsidP="00801BC6">
      <w:pPr>
        <w:pStyle w:val="BodyTextIndent"/>
      </w:pPr>
    </w:p>
    <w:p w:rsidR="00D46FBC" w:rsidRDefault="00D46FBC" w:rsidP="00D46FBC">
      <w:pPr>
        <w:pStyle w:val="NomenclatureClauseTitle"/>
      </w:pPr>
      <w:r>
        <w:t>EXPERIMENTAL</w:t>
      </w:r>
    </w:p>
    <w:p w:rsidR="00D46FBC" w:rsidRPr="0023586C" w:rsidRDefault="0023586C" w:rsidP="00D46FBC">
      <w:pPr>
        <w:pStyle w:val="BodyTextIndent"/>
      </w:pPr>
      <w:r w:rsidRPr="0023586C">
        <w:t>The experimental part of the current paper is carried out using three different IEAP materials:</w:t>
      </w:r>
      <w:r>
        <w:t xml:space="preserve"> </w:t>
      </w:r>
      <w:r w:rsidRPr="0023586C">
        <w:rPr>
          <w:b/>
        </w:rPr>
        <w:t>A</w:t>
      </w:r>
      <w:r w:rsidRPr="0023586C">
        <w:t>,</w:t>
      </w:r>
      <w:r>
        <w:rPr>
          <w:b/>
        </w:rPr>
        <w:t xml:space="preserve"> </w:t>
      </w:r>
      <w:r w:rsidRPr="0023586C">
        <w:rPr>
          <w:b/>
        </w:rPr>
        <w:t>B</w:t>
      </w:r>
      <w:r w:rsidRPr="0023586C">
        <w:t xml:space="preserve">, </w:t>
      </w:r>
      <w:r>
        <w:t xml:space="preserve">and </w:t>
      </w:r>
      <w:r w:rsidRPr="0023586C">
        <w:rPr>
          <w:b/>
        </w:rPr>
        <w:t>C</w:t>
      </w:r>
      <w:r w:rsidRPr="0023586C">
        <w:t>.</w:t>
      </w:r>
    </w:p>
    <w:p w:rsidR="0023586C" w:rsidRPr="0023586C" w:rsidRDefault="0023586C" w:rsidP="0023586C">
      <w:pPr>
        <w:pStyle w:val="BodyTextIndent"/>
      </w:pPr>
      <w:r w:rsidRPr="0023586C">
        <w:t xml:space="preserve">The material </w:t>
      </w:r>
      <w:r w:rsidRPr="0023586C">
        <w:rPr>
          <w:b/>
        </w:rPr>
        <w:t>A</w:t>
      </w:r>
      <w:r w:rsidRPr="0023586C">
        <w:t xml:space="preserve"> is a conventional wet IPMC with </w:t>
      </w:r>
      <w:proofErr w:type="spellStart"/>
      <w:r w:rsidRPr="0023586C">
        <w:t>nafion</w:t>
      </w:r>
      <w:proofErr w:type="spellEnd"/>
      <w:r w:rsidRPr="0023586C">
        <w:t xml:space="preserve"> membrane and platinum electrodes. It contains water; the </w:t>
      </w:r>
      <w:proofErr w:type="spellStart"/>
      <w:r w:rsidRPr="0023586C">
        <w:t>cations</w:t>
      </w:r>
      <w:proofErr w:type="spellEnd"/>
      <w:r w:rsidRPr="0023586C">
        <w:t xml:space="preserve"> introduced were Na</w:t>
      </w:r>
      <w:r w:rsidRPr="0023586C">
        <w:rPr>
          <w:vertAlign w:val="superscript"/>
        </w:rPr>
        <w:t>+</w:t>
      </w:r>
      <w:r w:rsidRPr="0023586C">
        <w:t xml:space="preserve">. Although it is intended for </w:t>
      </w:r>
      <w:proofErr w:type="spellStart"/>
      <w:r w:rsidRPr="0023586C">
        <w:t>continous</w:t>
      </w:r>
      <w:proofErr w:type="spellEnd"/>
      <w:r w:rsidRPr="0023586C">
        <w:t xml:space="preserve"> work in water environment, the measurements of short duration were passed in air. This material is soft, gains its maximal actuating amplitude in less than a second and relaxes back in about 10 seconds. Its working voltage should not exceed its electrochemical window – about 1.7V. The actuator presented in Fig. 1 is a typical example of this IEAP material. </w:t>
      </w:r>
    </w:p>
    <w:p w:rsidR="0023586C" w:rsidRDefault="0023586C" w:rsidP="0023586C">
      <w:pPr>
        <w:pStyle w:val="BodyTextIndent"/>
      </w:pPr>
      <w:r w:rsidRPr="0023586C">
        <w:t xml:space="preserve">The material </w:t>
      </w:r>
      <w:r w:rsidRPr="0023586C">
        <w:rPr>
          <w:b/>
        </w:rPr>
        <w:t>B</w:t>
      </w:r>
      <w:r w:rsidRPr="0023586C">
        <w:t xml:space="preserve"> is a so-called carbon-polymer composite (CPC). Its membrane is made of a non-ionic polymer – PVDF, while the capacitance of the electrodes is contributed by the carbide-derived carbon. The whole laminate contains ionic liquid (EMIBF</w:t>
      </w:r>
      <w:r w:rsidRPr="0023586C">
        <w:rPr>
          <w:vertAlign w:val="subscript"/>
        </w:rPr>
        <w:t>4</w:t>
      </w:r>
      <w:r w:rsidRPr="0023586C">
        <w:t xml:space="preserve">) and is fabricated by hot-pressing. It is slow, gaining its ultimate bending amplitude in 60 seconds and relaxing back up to 600 seconds, but is much stronger than the </w:t>
      </w:r>
      <w:r w:rsidRPr="0023586C">
        <w:lastRenderedPageBreak/>
        <w:t>other two. Its working voltage - up to 2.8V – is defined by the ionic liquid used. For details please refer to [doi:10.1</w:t>
      </w:r>
      <w:r>
        <w:t>016/j.carbon.2011.03.034].</w:t>
      </w:r>
    </w:p>
    <w:p w:rsidR="00E93097" w:rsidRDefault="0023586C" w:rsidP="0023586C">
      <w:pPr>
        <w:pStyle w:val="BodyTextIndent"/>
      </w:pPr>
      <w:r w:rsidRPr="0023586C">
        <w:t xml:space="preserve">The material </w:t>
      </w:r>
      <w:r w:rsidRPr="0023586C">
        <w:rPr>
          <w:b/>
        </w:rPr>
        <w:t>C</w:t>
      </w:r>
      <w:r w:rsidRPr="0023586C">
        <w:t xml:space="preserve"> is an intermediate between the others. Its membrane is </w:t>
      </w:r>
      <w:proofErr w:type="spellStart"/>
      <w:r w:rsidRPr="0023586C">
        <w:t>nafion</w:t>
      </w:r>
      <w:proofErr w:type="spellEnd"/>
      <w:r w:rsidRPr="0023586C">
        <w:t xml:space="preserve"> and electrolyte is and ionic liquid </w:t>
      </w:r>
      <w:proofErr w:type="spellStart"/>
      <w:r w:rsidRPr="0023586C">
        <w:t>EMITf</w:t>
      </w:r>
      <w:proofErr w:type="spellEnd"/>
      <w:r w:rsidRPr="0023586C">
        <w:t xml:space="preserve">, but the electrodes are made of carbide-derived carbon and covered with 15 um of gold. So, by means of membrane it is IPMC, but by means of electrodes it is CPC. The uppermost gold layer guarantees the good conductivity of the electrodes that in turn determines the speed and strength of this material. It gains its maximum amplitude in a few seconds and relaxes back in a few tens of seconds. Detailed description of fabrication and properties of </w:t>
      </w:r>
      <w:r w:rsidRPr="0023586C">
        <w:rPr>
          <w:b/>
        </w:rPr>
        <w:t>C</w:t>
      </w:r>
      <w:r w:rsidRPr="0023586C">
        <w:t xml:space="preserve"> is available in [doi:10.1088/0964-1726/18/9/095028], referred to as the </w:t>
      </w:r>
      <w:proofErr w:type="gramStart"/>
      <w:r w:rsidRPr="0023586C">
        <w:t>Carbon(</w:t>
      </w:r>
      <w:proofErr w:type="gramEnd"/>
      <w:r w:rsidRPr="0023586C">
        <w:t>1).</w:t>
      </w:r>
    </w:p>
    <w:p w:rsidR="00090A91" w:rsidRDefault="00090A91" w:rsidP="0023586C">
      <w:pPr>
        <w:pStyle w:val="BodyTextIndent"/>
      </w:pPr>
      <w:r w:rsidRPr="00090A91">
        <w:t>All three actuators placed in cantilever configuration were subjected to the input voltage defined by the Heaviside step function. The corresponding response was investigated by a CCD camera and the curvature was extracted as described in section (</w:t>
      </w:r>
      <w:proofErr w:type="spellStart"/>
      <w:r w:rsidRPr="00090A91">
        <w:t>bla</w:t>
      </w:r>
      <w:proofErr w:type="spellEnd"/>
      <w:r w:rsidRPr="00090A91">
        <w:t>). The curvatures for different IEAP actuators are indicated in Figure x. Once more, the experiment showed the justification of relating charge with EIBM, but only in some narrow region in the beginning of the input signal. To cover the full actuation process, one has to consider the back-relaxation present in case of all of the three IEAP actuators.</w:t>
      </w:r>
    </w:p>
    <w:tbl>
      <w:tblPr>
        <w:tblStyle w:val="TableGrid"/>
        <w:tblW w:w="0" w:type="auto"/>
        <w:tblLook w:val="04A0" w:firstRow="1" w:lastRow="0" w:firstColumn="1" w:lastColumn="0" w:noHBand="0" w:noVBand="1"/>
      </w:tblPr>
      <w:tblGrid>
        <w:gridCol w:w="1789"/>
        <w:gridCol w:w="1897"/>
        <w:gridCol w:w="1660"/>
      </w:tblGrid>
      <w:tr w:rsidR="00090A91" w:rsidRPr="00090A91" w:rsidTr="00090A91">
        <w:tc>
          <w:tcPr>
            <w:tcW w:w="1789" w:type="dxa"/>
          </w:tcPr>
          <w:p w:rsidR="00090A91" w:rsidRPr="00090A91" w:rsidRDefault="00090A91" w:rsidP="00090A91">
            <w:pPr>
              <w:pStyle w:val="BodyTextIndent"/>
              <w:rPr>
                <w:b/>
              </w:rPr>
            </w:pPr>
            <w:commentRangeStart w:id="3"/>
            <w:r w:rsidRPr="00090A91">
              <w:rPr>
                <w:b/>
              </w:rPr>
              <w:drawing>
                <wp:inline distT="0" distB="0" distL="0" distR="0" wp14:anchorId="1DFBFCB1" wp14:editId="6719CB2B">
                  <wp:extent cx="1836752" cy="137756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_curve.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2290" cy="1381717"/>
                          </a:xfrm>
                          <a:prstGeom prst="rect">
                            <a:avLst/>
                          </a:prstGeom>
                        </pic:spPr>
                      </pic:pic>
                    </a:graphicData>
                  </a:graphic>
                </wp:inline>
              </w:drawing>
            </w:r>
          </w:p>
        </w:tc>
        <w:tc>
          <w:tcPr>
            <w:tcW w:w="1897" w:type="dxa"/>
          </w:tcPr>
          <w:p w:rsidR="00090A91" w:rsidRPr="00090A91" w:rsidRDefault="00090A91" w:rsidP="00090A91">
            <w:pPr>
              <w:pStyle w:val="BodyTextIndent"/>
              <w:rPr>
                <w:b/>
              </w:rPr>
            </w:pPr>
            <w:r w:rsidRPr="00090A91">
              <w:rPr>
                <w:b/>
              </w:rPr>
              <w:drawing>
                <wp:inline distT="0" distB="0" distL="0" distR="0" wp14:anchorId="63942BA7" wp14:editId="465B893F">
                  <wp:extent cx="1961322" cy="1470991"/>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_curve.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7236" cy="1475426"/>
                          </a:xfrm>
                          <a:prstGeom prst="rect">
                            <a:avLst/>
                          </a:prstGeom>
                        </pic:spPr>
                      </pic:pic>
                    </a:graphicData>
                  </a:graphic>
                </wp:inline>
              </w:drawing>
            </w:r>
          </w:p>
        </w:tc>
        <w:tc>
          <w:tcPr>
            <w:tcW w:w="1660" w:type="dxa"/>
          </w:tcPr>
          <w:p w:rsidR="00090A91" w:rsidRPr="00090A91" w:rsidRDefault="00090A91" w:rsidP="00090A91">
            <w:pPr>
              <w:pStyle w:val="BodyTextIndent"/>
              <w:rPr>
                <w:b/>
              </w:rPr>
            </w:pPr>
            <w:r w:rsidRPr="00090A91">
              <w:rPr>
                <w:b/>
              </w:rPr>
              <w:drawing>
                <wp:inline distT="0" distB="0" distL="0" distR="0" wp14:anchorId="40AD1F16" wp14:editId="4C8E69BB">
                  <wp:extent cx="1685676" cy="169974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curve.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0984" cy="1705099"/>
                          </a:xfrm>
                          <a:prstGeom prst="rect">
                            <a:avLst/>
                          </a:prstGeom>
                        </pic:spPr>
                      </pic:pic>
                    </a:graphicData>
                  </a:graphic>
                </wp:inline>
              </w:drawing>
            </w:r>
          </w:p>
        </w:tc>
      </w:tr>
      <w:tr w:rsidR="00090A91" w:rsidRPr="00090A91" w:rsidTr="00090A91">
        <w:tc>
          <w:tcPr>
            <w:tcW w:w="1789" w:type="dxa"/>
          </w:tcPr>
          <w:p w:rsidR="00090A91" w:rsidRPr="00090A91" w:rsidRDefault="00090A91" w:rsidP="00090A91">
            <w:pPr>
              <w:pStyle w:val="BodyTextIndent"/>
              <w:rPr>
                <w:b/>
              </w:rPr>
            </w:pPr>
            <w:r w:rsidRPr="00090A91">
              <w:rPr>
                <w:b/>
              </w:rPr>
              <w:t>MS</w:t>
            </w:r>
          </w:p>
        </w:tc>
        <w:tc>
          <w:tcPr>
            <w:tcW w:w="1897" w:type="dxa"/>
          </w:tcPr>
          <w:p w:rsidR="00090A91" w:rsidRPr="00090A91" w:rsidRDefault="00090A91" w:rsidP="00090A91">
            <w:pPr>
              <w:pStyle w:val="BodyTextIndent"/>
              <w:rPr>
                <w:b/>
              </w:rPr>
            </w:pPr>
            <w:r w:rsidRPr="00090A91">
              <w:rPr>
                <w:b/>
              </w:rPr>
              <w:t>CPC</w:t>
            </w:r>
          </w:p>
        </w:tc>
        <w:tc>
          <w:tcPr>
            <w:tcW w:w="1660" w:type="dxa"/>
          </w:tcPr>
          <w:p w:rsidR="00090A91" w:rsidRPr="00090A91" w:rsidRDefault="00090A91" w:rsidP="00090A91">
            <w:pPr>
              <w:pStyle w:val="BodyTextIndent"/>
              <w:rPr>
                <w:b/>
              </w:rPr>
            </w:pPr>
            <w:proofErr w:type="spellStart"/>
            <w:r w:rsidRPr="00090A91">
              <w:rPr>
                <w:b/>
              </w:rPr>
              <w:t>Kullaga</w:t>
            </w:r>
            <w:proofErr w:type="spellEnd"/>
            <w:r w:rsidRPr="00090A91">
              <w:rPr>
                <w:b/>
              </w:rPr>
              <w:t xml:space="preserve"> IPMC</w:t>
            </w:r>
            <w:commentRangeEnd w:id="3"/>
            <w:r w:rsidR="00993AA8">
              <w:rPr>
                <w:rStyle w:val="CommentReference"/>
              </w:rPr>
              <w:commentReference w:id="3"/>
            </w:r>
          </w:p>
        </w:tc>
      </w:tr>
    </w:tbl>
    <w:p w:rsidR="00090A91" w:rsidRDefault="00090A91" w:rsidP="0023586C">
      <w:pPr>
        <w:pStyle w:val="BodyTextIndent"/>
      </w:pPr>
      <w:r w:rsidRPr="00090A91">
        <w:t>For characterizing the relaxation in terms of the bending moment BRBM, it is necessary to determine several electrical and mechanical parameters. The linear behavior between charge and EIBM is here denoted by the coefficient</w:t>
      </w:r>
      <m:oMath>
        <m:r>
          <w:rPr>
            <w:rFonts w:ascii="Cambria Math" w:hAnsi="Cambria Math"/>
          </w:rPr>
          <m:t xml:space="preserve"> α</m:t>
        </m:r>
      </m:oMath>
      <w:r w:rsidRPr="00090A91">
        <w:t>, which together with Euler-Bernoulli relationship gives: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
        <w:gridCol w:w="4104"/>
        <w:gridCol w:w="513"/>
      </w:tblGrid>
      <w:tr w:rsidR="00090A91" w:rsidTr="000F3898">
        <w:tc>
          <w:tcPr>
            <w:tcW w:w="500" w:type="pct"/>
            <w:vAlign w:val="center"/>
          </w:tcPr>
          <w:p w:rsidR="00090A91" w:rsidRDefault="00090A91" w:rsidP="00CB092F">
            <w:pPr>
              <w:pStyle w:val="BodyTextIndent"/>
              <w:ind w:firstLine="0"/>
              <w:jc w:val="center"/>
            </w:pPr>
          </w:p>
        </w:tc>
        <w:tc>
          <w:tcPr>
            <w:tcW w:w="4000" w:type="pct"/>
            <w:vAlign w:val="center"/>
          </w:tcPr>
          <w:p w:rsidR="00090A91" w:rsidRDefault="00090A91" w:rsidP="00CB092F">
            <w:pPr>
              <w:pStyle w:val="BodyTextIndent"/>
              <w:ind w:firstLine="0"/>
              <w:jc w:val="center"/>
            </w:pPr>
            <m:oMathPara>
              <m:oMath>
                <m:f>
                  <m:fPr>
                    <m:ctrlPr>
                      <w:rPr>
                        <w:rFonts w:ascii="Cambria Math" w:hAnsi="Cambria Math"/>
                        <w:i/>
                      </w:rPr>
                    </m:ctrlPr>
                  </m:fPr>
                  <m:num>
                    <m:r>
                      <w:rPr>
                        <w:rFonts w:ascii="Cambria Math" w:hAnsi="Cambria Math"/>
                      </w:rPr>
                      <m:t>BRBM</m:t>
                    </m:r>
                  </m:num>
                  <m:den>
                    <m:r>
                      <w:rPr>
                        <w:rFonts w:ascii="Cambria Math" w:hAnsi="Cambria Math"/>
                      </w:rPr>
                      <m:t>EI</m:t>
                    </m:r>
                  </m:den>
                </m:f>
                <m:r>
                  <w:rPr>
                    <w:rFonts w:ascii="Cambria Math" w:hAnsi="Cambria Math"/>
                  </w:rPr>
                  <m:t>=ρ</m:t>
                </m:r>
                <m:d>
                  <m:dPr>
                    <m:ctrlPr>
                      <w:rPr>
                        <w:rFonts w:ascii="Cambria Math" w:hAnsi="Cambria Math"/>
                        <w:i/>
                      </w:rPr>
                    </m:ctrlPr>
                  </m:dPr>
                  <m:e>
                    <m:r>
                      <w:rPr>
                        <w:rFonts w:ascii="Cambria Math" w:hAnsi="Cambria Math"/>
                      </w:rPr>
                      <m:t>s,t</m:t>
                    </m:r>
                  </m:e>
                </m:d>
                <m:r>
                  <w:rPr>
                    <w:rFonts w:ascii="Cambria Math" w:hAnsi="Cambria Math"/>
                  </w:rPr>
                  <m:t>-</m:t>
                </m:r>
                <m:f>
                  <m:fPr>
                    <m:ctrlPr>
                      <w:rPr>
                        <w:rFonts w:ascii="Cambria Math" w:eastAsiaTheme="minorEastAsia" w:hAnsi="Cambria Math"/>
                        <w:i/>
                      </w:rPr>
                    </m:ctrlPr>
                  </m:fPr>
                  <m:num>
                    <m:r>
                      <w:rPr>
                        <w:rFonts w:ascii="Cambria Math" w:hAnsi="Cambria Math"/>
                      </w:rPr>
                      <m:t>αq</m:t>
                    </m:r>
                    <m:d>
                      <m:dPr>
                        <m:ctrlPr>
                          <w:rPr>
                            <w:rFonts w:ascii="Cambria Math" w:hAnsi="Cambria Math"/>
                            <w:i/>
                          </w:rPr>
                        </m:ctrlPr>
                      </m:dPr>
                      <m:e>
                        <m:r>
                          <w:rPr>
                            <w:rFonts w:ascii="Cambria Math" w:hAnsi="Cambria Math"/>
                          </w:rPr>
                          <m:t>s,t</m:t>
                        </m:r>
                      </m:e>
                    </m:d>
                    <m:ctrlPr>
                      <w:rPr>
                        <w:rFonts w:ascii="Cambria Math" w:hAnsi="Cambria Math"/>
                        <w:i/>
                      </w:rPr>
                    </m:ctrlPr>
                  </m:num>
                  <m:den>
                    <m:r>
                      <w:rPr>
                        <w:rFonts w:ascii="Cambria Math" w:eastAsiaTheme="minorEastAsia" w:hAnsi="Cambria Math"/>
                      </w:rPr>
                      <m:t>EI</m:t>
                    </m:r>
                  </m:den>
                </m:f>
              </m:oMath>
            </m:oMathPara>
          </w:p>
        </w:tc>
        <w:tc>
          <w:tcPr>
            <w:tcW w:w="500" w:type="pct"/>
            <w:vAlign w:val="center"/>
          </w:tcPr>
          <w:p w:rsidR="00090A91" w:rsidRDefault="00090A91" w:rsidP="00090A91">
            <w:pPr>
              <w:pStyle w:val="BodyTextIndent"/>
              <w:numPr>
                <w:ilvl w:val="0"/>
                <w:numId w:val="2"/>
              </w:numPr>
              <w:ind w:left="357" w:hanging="357"/>
              <w:jc w:val="center"/>
            </w:pPr>
          </w:p>
        </w:tc>
      </w:tr>
    </w:tbl>
    <w:p w:rsidR="00090A91" w:rsidRDefault="00090A91" w:rsidP="0023586C">
      <w:pPr>
        <w:pStyle w:val="BodyTextIndent"/>
      </w:pPr>
      <w:r w:rsidRPr="00090A91">
        <w:t xml:space="preserve">In this paper the E, I, and </w:t>
      </w:r>
      <m:oMath>
        <m:r>
          <w:rPr>
            <w:rFonts w:ascii="Cambria Math" w:hAnsi="Cambria Math"/>
          </w:rPr>
          <m:t>α</m:t>
        </m:r>
      </m:oMath>
      <w:r w:rsidRPr="00090A91">
        <w:t xml:space="preserve"> is not separated and considered as combined constant. Hence, for more convenient manipulation between charge and curvature, the constant </w:t>
      </w:r>
      <m:oMath>
        <m:r>
          <w:rPr>
            <w:rFonts w:ascii="Cambria Math" w:hAnsi="Cambria Math"/>
          </w:rPr>
          <m:t>μ=α/EI</m:t>
        </m:r>
      </m:oMath>
      <w:r w:rsidRPr="00090A91">
        <w:t xml:space="preserve"> is introduced.</w:t>
      </w:r>
    </w:p>
    <w:p w:rsidR="00090A91" w:rsidRPr="00090A91" w:rsidRDefault="00090A91" w:rsidP="00090A91">
      <w:pPr>
        <w:pStyle w:val="BodyTextIndent"/>
      </w:pPr>
      <w:r w:rsidRPr="00090A91">
        <w:t>The determination of the parameters was carried out in three stages:</w:t>
      </w:r>
    </w:p>
    <w:p w:rsidR="00090A91" w:rsidRPr="00090A91" w:rsidRDefault="00090A91" w:rsidP="00090A91">
      <w:pPr>
        <w:pStyle w:val="BodyTextIndent"/>
        <w:numPr>
          <w:ilvl w:val="0"/>
          <w:numId w:val="4"/>
        </w:numPr>
      </w:pPr>
      <w:r w:rsidRPr="00090A91">
        <w:t>T</w:t>
      </w:r>
      <w:r w:rsidR="00FF6F2B" w:rsidRPr="00090A91">
        <w:t xml:space="preserve">he resistance of electrodes </w:t>
      </w:r>
      <w:r w:rsidR="00FF6F2B" w:rsidRPr="00090A91">
        <w:t>R was measured</w:t>
      </w:r>
      <w:r w:rsidR="00FF6F2B" w:rsidRPr="00090A91">
        <w:t xml:space="preserve"> using 4-point sensing meth</w:t>
      </w:r>
      <w:r w:rsidR="00FF6F2B" w:rsidRPr="00090A91">
        <w:t>od.</w:t>
      </w:r>
    </w:p>
    <w:p w:rsidR="00090A91" w:rsidRPr="00090A91" w:rsidRDefault="00090A91" w:rsidP="00090A91">
      <w:pPr>
        <w:pStyle w:val="BodyTextIndent"/>
        <w:numPr>
          <w:ilvl w:val="0"/>
          <w:numId w:val="4"/>
        </w:numPr>
      </w:pPr>
      <w:r w:rsidRPr="00090A91">
        <w:lastRenderedPageBreak/>
        <w:t>T</w:t>
      </w:r>
      <w:r w:rsidR="00FF6F2B" w:rsidRPr="00090A91">
        <w:t>he rest of the</w:t>
      </w:r>
      <w:r w:rsidR="00FF6F2B" w:rsidRPr="00090A91">
        <w:t xml:space="preserve"> electrical</w:t>
      </w:r>
      <w:r w:rsidR="00FF6F2B" w:rsidRPr="00090A91">
        <w:t xml:space="preserve"> parameters </w:t>
      </w:r>
      <w:r w:rsidR="00FF6F2B" w:rsidRPr="00090A91">
        <w:t>C,</w:t>
      </w:r>
      <w:r w:rsidR="00FF6F2B" w:rsidRPr="00090A91">
        <w:t xml:space="preserve"> G</w:t>
      </w:r>
      <w:r w:rsidR="00FF6F2B" w:rsidRPr="00090A91">
        <w:t xml:space="preserve"> and </w:t>
      </w:r>
      <w:proofErr w:type="spellStart"/>
      <w:r w:rsidR="00FF6F2B" w:rsidRPr="00090A91">
        <w:t>W</w:t>
      </w:r>
      <w:proofErr w:type="spellEnd"/>
      <w:r w:rsidR="00FF6F2B" w:rsidRPr="00090A91">
        <w:t xml:space="preserve"> were </w:t>
      </w:r>
      <w:r w:rsidR="00FF6F2B" w:rsidRPr="00090A91">
        <w:t>obtaine</w:t>
      </w:r>
      <w:r w:rsidR="00FF6F2B" w:rsidRPr="00090A91">
        <w:t xml:space="preserve">d by </w:t>
      </w:r>
      <w:r w:rsidR="00FF6F2B" w:rsidRPr="00090A91">
        <w:t>fitt</w:t>
      </w:r>
      <w:r w:rsidR="00FF6F2B" w:rsidRPr="00090A91">
        <w:t>ing t</w:t>
      </w:r>
      <w:bookmarkStart w:id="4" w:name="_GoBack"/>
      <w:bookmarkEnd w:id="4"/>
      <w:r w:rsidR="00FF6F2B" w:rsidRPr="00090A91">
        <w:t>he model</w:t>
      </w:r>
      <w:r w:rsidR="00FF6F2B" w:rsidRPr="00090A91">
        <w:t xml:space="preserve"> against </w:t>
      </w:r>
      <w:r w:rsidR="00FF6F2B" w:rsidRPr="00090A91">
        <w:t>measured voltage</w:t>
      </w:r>
      <w:r w:rsidR="00FF6F2B" w:rsidRPr="00090A91">
        <w:t xml:space="preserve"> between electrodes along the </w:t>
      </w:r>
      <w:r w:rsidR="00FF6F2B" w:rsidRPr="00090A91">
        <w:t xml:space="preserve">IEAP </w:t>
      </w:r>
      <w:r w:rsidR="00FF6F2B" w:rsidRPr="00090A91">
        <w:t>actuator</w:t>
      </w:r>
      <w:r w:rsidR="00FF6F2B" w:rsidRPr="00090A91">
        <w:t>.</w:t>
      </w:r>
    </w:p>
    <w:p w:rsidR="00090A91" w:rsidRPr="00090A91" w:rsidRDefault="00090A91" w:rsidP="00090A91">
      <w:pPr>
        <w:pStyle w:val="BodyTextIndent"/>
        <w:numPr>
          <w:ilvl w:val="0"/>
          <w:numId w:val="4"/>
        </w:numPr>
      </w:pPr>
      <w:r w:rsidRPr="00090A91">
        <w:t xml:space="preserve">The electro-mechanical parameter </w:t>
      </w:r>
      <m:oMath>
        <m:r>
          <w:rPr>
            <w:rFonts w:ascii="Cambria Math" w:hAnsi="Cambria Math"/>
          </w:rPr>
          <m:t>μ</m:t>
        </m:r>
      </m:oMath>
      <w:r w:rsidRPr="00090A91">
        <w:t xml:space="preserve"> was determined from equation (1) assuming BRBM=0 in first few seconds of the actuation</w:t>
      </w:r>
      <w:r w:rsidR="00FF6F2B" w:rsidRPr="00090A91">
        <w:t>.</w:t>
      </w:r>
    </w:p>
    <w:p w:rsidR="00090A91" w:rsidRDefault="00090A91" w:rsidP="0023586C">
      <w:pPr>
        <w:pStyle w:val="BodyTextIndent"/>
      </w:pPr>
      <w:r w:rsidRPr="00090A91">
        <w:t>The s</w:t>
      </w:r>
      <w:r w:rsidR="00FF6F2B" w:rsidRPr="00090A91">
        <w:t>imul</w:t>
      </w:r>
      <w:r w:rsidR="00FF6F2B" w:rsidRPr="00090A91">
        <w:t xml:space="preserve">ated and measured voltages </w:t>
      </w:r>
      <w:r w:rsidR="00FF6F2B" w:rsidRPr="00090A91">
        <w:t xml:space="preserve">of material </w:t>
      </w:r>
      <w:r w:rsidR="00FF6F2B" w:rsidRPr="00090A91">
        <w:rPr>
          <w:b/>
        </w:rPr>
        <w:t>B</w:t>
      </w:r>
      <w:r w:rsidR="00FF6F2B" w:rsidRPr="00090A91">
        <w:t xml:space="preserve"> </w:t>
      </w:r>
      <w:r w:rsidR="00FF6F2B" w:rsidRPr="00090A91">
        <w:t xml:space="preserve">are depicted </w:t>
      </w:r>
      <w:r w:rsidR="00FF6F2B" w:rsidRPr="00090A91">
        <w:t>in Fig X.</w:t>
      </w:r>
      <w:r w:rsidR="00FF6F2B" w:rsidRPr="00090A91">
        <w:t xml:space="preserve"> The </w:t>
      </w:r>
      <w:r w:rsidR="00FF6F2B" w:rsidRPr="00090A91">
        <w:t xml:space="preserve">determined </w:t>
      </w:r>
      <w:r w:rsidR="00FF6F2B" w:rsidRPr="00090A91">
        <w:t xml:space="preserve">parameters </w:t>
      </w:r>
      <w:r w:rsidR="00FF6F2B" w:rsidRPr="00090A91">
        <w:t>for all three samples are shown in</w:t>
      </w:r>
      <w:r w:rsidR="00FF6F2B" w:rsidRPr="00090A91">
        <w:t xml:space="preserve"> table 1.</w:t>
      </w:r>
    </w:p>
    <w:p w:rsidR="00090A91" w:rsidRDefault="00090A91" w:rsidP="0023586C">
      <w:pPr>
        <w:pStyle w:val="BodyTextIndent"/>
      </w:pPr>
      <w:commentRangeStart w:id="5"/>
      <w:r w:rsidRPr="00CC5C4B">
        <w:rPr>
          <w:noProof/>
          <w:lang w:eastAsia="et-EE"/>
        </w:rPr>
        <w:drawing>
          <wp:inline distT="0" distB="0" distL="0" distR="0" wp14:anchorId="3E0799F8" wp14:editId="44AA890C">
            <wp:extent cx="2699239" cy="2699239"/>
            <wp:effectExtent l="0" t="0" r="6350" b="6350"/>
            <wp:docPr id="2" name="Picture 2" descr="D:\doktorantuur\article\pics\fitt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article\pics\fitting.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6673" cy="2706673"/>
                    </a:xfrm>
                    <a:prstGeom prst="rect">
                      <a:avLst/>
                    </a:prstGeom>
                    <a:noFill/>
                    <a:ln>
                      <a:noFill/>
                    </a:ln>
                  </pic:spPr>
                </pic:pic>
              </a:graphicData>
            </a:graphic>
          </wp:inline>
        </w:drawing>
      </w:r>
      <w:commentRangeEnd w:id="5"/>
      <w:r w:rsidR="00993AA8">
        <w:rPr>
          <w:rStyle w:val="CommentReference"/>
        </w:rPr>
        <w:commentReference w:id="5"/>
      </w:r>
    </w:p>
    <w:tbl>
      <w:tblPr>
        <w:tblStyle w:val="TableGrid"/>
        <w:tblW w:w="5477" w:type="dxa"/>
        <w:tblLook w:val="04A0" w:firstRow="1" w:lastRow="0" w:firstColumn="1" w:lastColumn="0" w:noHBand="0" w:noVBand="1"/>
      </w:tblPr>
      <w:tblGrid>
        <w:gridCol w:w="1518"/>
        <w:gridCol w:w="1337"/>
        <w:gridCol w:w="1060"/>
        <w:gridCol w:w="1562"/>
      </w:tblGrid>
      <w:tr w:rsidR="00090A91" w:rsidRPr="00090A91" w:rsidTr="0011343C">
        <w:trPr>
          <w:trHeight w:val="567"/>
        </w:trPr>
        <w:tc>
          <w:tcPr>
            <w:tcW w:w="0" w:type="auto"/>
            <w:vAlign w:val="center"/>
          </w:tcPr>
          <w:p w:rsidR="00090A91" w:rsidRPr="00090A91" w:rsidRDefault="00090A91" w:rsidP="00090A91">
            <w:pPr>
              <w:pStyle w:val="BodyTextIndent"/>
            </w:pPr>
          </w:p>
        </w:tc>
        <w:tc>
          <w:tcPr>
            <w:tcW w:w="1337" w:type="dxa"/>
            <w:vAlign w:val="center"/>
          </w:tcPr>
          <w:p w:rsidR="00090A91" w:rsidRPr="00090A91" w:rsidRDefault="00090A91" w:rsidP="00090A91">
            <w:pPr>
              <w:pStyle w:val="BodyTextIndent"/>
              <w:rPr>
                <w:b/>
              </w:rPr>
            </w:pPr>
            <w:r w:rsidRPr="00090A91">
              <w:rPr>
                <w:b/>
              </w:rPr>
              <w:t>A</w:t>
            </w:r>
          </w:p>
        </w:tc>
        <w:tc>
          <w:tcPr>
            <w:tcW w:w="1060" w:type="dxa"/>
            <w:vAlign w:val="center"/>
          </w:tcPr>
          <w:p w:rsidR="00090A91" w:rsidRPr="00090A91" w:rsidRDefault="00090A91" w:rsidP="00090A91">
            <w:pPr>
              <w:pStyle w:val="BodyTextIndent"/>
              <w:rPr>
                <w:b/>
              </w:rPr>
            </w:pPr>
            <w:r w:rsidRPr="00090A91">
              <w:rPr>
                <w:b/>
              </w:rPr>
              <w:t>B</w:t>
            </w:r>
          </w:p>
        </w:tc>
        <w:tc>
          <w:tcPr>
            <w:tcW w:w="1562" w:type="dxa"/>
            <w:vAlign w:val="center"/>
          </w:tcPr>
          <w:p w:rsidR="00090A91" w:rsidRPr="00090A91" w:rsidRDefault="00090A91" w:rsidP="00090A91">
            <w:pPr>
              <w:pStyle w:val="BodyTextIndent"/>
              <w:rPr>
                <w:b/>
              </w:rPr>
            </w:pPr>
            <w:r w:rsidRPr="00090A91">
              <w:rPr>
                <w:b/>
              </w:rPr>
              <w:t>C</w:t>
            </w:r>
          </w:p>
        </w:tc>
      </w:tr>
      <w:tr w:rsidR="00090A91" w:rsidRPr="00090A91" w:rsidTr="0011343C">
        <w:trPr>
          <w:trHeight w:val="479"/>
        </w:trPr>
        <w:tc>
          <w:tcPr>
            <w:tcW w:w="0" w:type="auto"/>
            <w:vAlign w:val="center"/>
          </w:tcPr>
          <w:p w:rsidR="00090A91" w:rsidRPr="00090A91" w:rsidRDefault="00090A91" w:rsidP="00090A91">
            <w:pPr>
              <w:pStyle w:val="BodyTextIndent"/>
            </w:pPr>
            <w:r w:rsidRPr="00090A91">
              <w:t xml:space="preserve">Dimensions </w:t>
            </w:r>
            <m:oMath>
              <m:d>
                <m:dPr>
                  <m:ctrlPr>
                    <w:rPr>
                      <w:rFonts w:ascii="Cambria Math" w:hAnsi="Cambria Math"/>
                    </w:rPr>
                  </m:ctrlPr>
                </m:dPr>
                <m:e>
                  <m:r>
                    <w:rPr>
                      <w:rFonts w:ascii="Cambria Math" w:hAnsi="Cambria Math"/>
                    </w:rPr>
                    <m:t>mm</m:t>
                  </m:r>
                </m:e>
              </m:d>
            </m:oMath>
          </w:p>
        </w:tc>
        <w:tc>
          <w:tcPr>
            <w:tcW w:w="1337" w:type="dxa"/>
            <w:vAlign w:val="center"/>
          </w:tcPr>
          <w:p w:rsidR="00090A91" w:rsidRPr="00090A91" w:rsidRDefault="00090A91" w:rsidP="00090A91">
            <w:pPr>
              <w:pStyle w:val="BodyTextIndent"/>
            </w:pPr>
            <w:r w:rsidRPr="00090A91">
              <w:t>45x3x…</w:t>
            </w:r>
          </w:p>
        </w:tc>
        <w:tc>
          <w:tcPr>
            <w:tcW w:w="1060" w:type="dxa"/>
            <w:vAlign w:val="center"/>
          </w:tcPr>
          <w:p w:rsidR="00090A91" w:rsidRPr="00090A91" w:rsidRDefault="00090A91" w:rsidP="00090A91">
            <w:pPr>
              <w:pStyle w:val="BodyTextIndent"/>
            </w:pPr>
            <w:r w:rsidRPr="00090A91">
              <w:t>14x1x…</w:t>
            </w:r>
          </w:p>
        </w:tc>
        <w:tc>
          <w:tcPr>
            <w:tcW w:w="1562" w:type="dxa"/>
            <w:vAlign w:val="center"/>
          </w:tcPr>
          <w:p w:rsidR="00090A91" w:rsidRPr="00090A91" w:rsidRDefault="00090A91" w:rsidP="00090A91">
            <w:pPr>
              <w:pStyle w:val="BodyTextIndent"/>
            </w:pPr>
            <w:r w:rsidRPr="00090A91">
              <w:t>28x5x…</w:t>
            </w:r>
          </w:p>
        </w:tc>
      </w:tr>
      <w:tr w:rsidR="00090A91" w:rsidRPr="00090A91" w:rsidTr="0011343C">
        <w:trPr>
          <w:trHeight w:val="470"/>
        </w:trPr>
        <w:tc>
          <w:tcPr>
            <w:tcW w:w="0" w:type="auto"/>
            <w:vAlign w:val="center"/>
          </w:tcPr>
          <w:p w:rsidR="00090A91" w:rsidRPr="00090A91" w:rsidRDefault="00090A91" w:rsidP="00090A91">
            <w:pPr>
              <w:pStyle w:val="BodyTextIndent"/>
            </w:pPr>
            <w:r w:rsidRPr="00090A91">
              <w:t>R</w:t>
            </w:r>
            <m:oMath>
              <m:d>
                <m:dPr>
                  <m:ctrlPr>
                    <w:rPr>
                      <w:rFonts w:ascii="Cambria Math" w:hAnsi="Cambria Math"/>
                    </w:rPr>
                  </m:ctrlPr>
                </m:dPr>
                <m:e>
                  <m:f>
                    <m:fPr>
                      <m:ctrlPr>
                        <w:rPr>
                          <w:rFonts w:ascii="Cambria Math" w:hAnsi="Cambria Math"/>
                        </w:rPr>
                      </m:ctrlPr>
                    </m:fPr>
                    <m:num>
                      <m:r>
                        <m:rPr>
                          <m:sty m:val="p"/>
                        </m:rPr>
                        <w:rPr>
                          <w:rFonts w:ascii="Cambria Math" w:hAnsi="Cambria Math" w:hint="eastAsia"/>
                        </w:rPr>
                        <m:t>Ω</m:t>
                      </m:r>
                    </m:num>
                    <m:den>
                      <m:r>
                        <w:rPr>
                          <w:rFonts w:ascii="Cambria Math" w:hAnsi="Cambria Math"/>
                        </w:rPr>
                        <m:t xml:space="preserve">cm </m:t>
                      </m:r>
                    </m:den>
                  </m:f>
                </m:e>
              </m:d>
            </m:oMath>
          </w:p>
        </w:tc>
        <w:tc>
          <w:tcPr>
            <w:tcW w:w="1337" w:type="dxa"/>
            <w:vAlign w:val="center"/>
          </w:tcPr>
          <w:p w:rsidR="00090A91" w:rsidRPr="00090A91" w:rsidRDefault="00090A91" w:rsidP="00090A91">
            <w:pPr>
              <w:pStyle w:val="BodyTextIndent"/>
            </w:pPr>
            <w:r w:rsidRPr="00090A91">
              <w:t>11,51</w:t>
            </w:r>
          </w:p>
        </w:tc>
        <w:tc>
          <w:tcPr>
            <w:tcW w:w="1060" w:type="dxa"/>
            <w:vAlign w:val="center"/>
          </w:tcPr>
          <w:p w:rsidR="00090A91" w:rsidRPr="00090A91" w:rsidRDefault="00090A91" w:rsidP="00090A91">
            <w:pPr>
              <w:pStyle w:val="BodyTextIndent"/>
            </w:pPr>
            <w:r w:rsidRPr="00090A91">
              <w:t>2509</w:t>
            </w:r>
          </w:p>
        </w:tc>
        <w:tc>
          <w:tcPr>
            <w:tcW w:w="1562" w:type="dxa"/>
            <w:vAlign w:val="center"/>
          </w:tcPr>
          <w:p w:rsidR="00090A91" w:rsidRPr="00090A91" w:rsidRDefault="00090A91" w:rsidP="00090A91">
            <w:pPr>
              <w:pStyle w:val="BodyTextIndent"/>
            </w:pPr>
            <w:r w:rsidRPr="00090A91">
              <w:t>2</w:t>
            </w:r>
          </w:p>
        </w:tc>
      </w:tr>
      <w:tr w:rsidR="00090A91" w:rsidRPr="00090A91" w:rsidTr="0011343C">
        <w:trPr>
          <w:trHeight w:val="479"/>
        </w:trPr>
        <w:tc>
          <w:tcPr>
            <w:tcW w:w="0" w:type="auto"/>
            <w:vAlign w:val="center"/>
          </w:tcPr>
          <w:p w:rsidR="00090A91" w:rsidRPr="00090A91" w:rsidRDefault="00090A91" w:rsidP="00090A91">
            <w:pPr>
              <w:pStyle w:val="BodyTextIndent"/>
            </w:pPr>
            <w:r w:rsidRPr="00090A91">
              <w:t>C</w:t>
            </w:r>
            <m:oMath>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cm</m:t>
                      </m:r>
                    </m:den>
                  </m:f>
                </m:e>
              </m:d>
            </m:oMath>
          </w:p>
        </w:tc>
        <w:tc>
          <w:tcPr>
            <w:tcW w:w="1337" w:type="dxa"/>
            <w:vAlign w:val="center"/>
          </w:tcPr>
          <w:p w:rsidR="00090A91" w:rsidRPr="00090A91" w:rsidRDefault="00090A91" w:rsidP="00090A91">
            <w:pPr>
              <w:pStyle w:val="BodyTextIndent"/>
            </w:pPr>
            <w:r w:rsidRPr="00090A91">
              <w:t>0,00826</w:t>
            </w:r>
          </w:p>
        </w:tc>
        <w:tc>
          <w:tcPr>
            <w:tcW w:w="1060" w:type="dxa"/>
            <w:vAlign w:val="center"/>
          </w:tcPr>
          <w:p w:rsidR="00090A91" w:rsidRPr="00090A91" w:rsidRDefault="00090A91" w:rsidP="00090A91">
            <w:pPr>
              <w:pStyle w:val="BodyTextIndent"/>
            </w:pPr>
            <w:r w:rsidRPr="00090A91">
              <w:t>0,0088</w:t>
            </w:r>
          </w:p>
        </w:tc>
        <w:tc>
          <w:tcPr>
            <w:tcW w:w="1562" w:type="dxa"/>
            <w:vAlign w:val="center"/>
          </w:tcPr>
          <w:p w:rsidR="00090A91" w:rsidRPr="00090A91" w:rsidRDefault="00090A91" w:rsidP="00090A91">
            <w:pPr>
              <w:pStyle w:val="BodyTextIndent"/>
            </w:pPr>
            <w:r w:rsidRPr="00090A91">
              <w:t>0,035</w:t>
            </w:r>
          </w:p>
        </w:tc>
      </w:tr>
      <w:tr w:rsidR="00090A91" w:rsidRPr="00090A91" w:rsidTr="0011343C">
        <w:trPr>
          <w:trHeight w:val="470"/>
        </w:trPr>
        <w:tc>
          <w:tcPr>
            <w:tcW w:w="0" w:type="auto"/>
            <w:vAlign w:val="center"/>
          </w:tcPr>
          <w:p w:rsidR="00090A91" w:rsidRPr="00090A91" w:rsidRDefault="00090A91" w:rsidP="00090A91">
            <w:pPr>
              <w:pStyle w:val="BodyTextIndent"/>
            </w:pPr>
            <w:r w:rsidRPr="00090A91">
              <w:t>G</w:t>
            </w:r>
            <m:oMath>
              <m:d>
                <m:dPr>
                  <m:ctrlPr>
                    <w:rPr>
                      <w:rFonts w:ascii="Cambria Math" w:hAnsi="Cambria Math"/>
                    </w:rPr>
                  </m:ctrlPr>
                </m:dPr>
                <m:e>
                  <m:f>
                    <m:fPr>
                      <m:ctrlPr>
                        <w:rPr>
                          <w:rFonts w:ascii="Cambria Math" w:hAnsi="Cambria Math"/>
                        </w:rPr>
                      </m:ctrlPr>
                    </m:fPr>
                    <m:num>
                      <m:r>
                        <w:rPr>
                          <w:rFonts w:ascii="Cambria Math" w:hAnsi="Cambria Math"/>
                        </w:rPr>
                        <m:t>1</m:t>
                      </m:r>
                    </m:num>
                    <m:den>
                      <m:r>
                        <m:rPr>
                          <m:sty m:val="p"/>
                        </m:rPr>
                        <w:rPr>
                          <w:rFonts w:ascii="Cambria Math" w:hAnsi="Cambria Math" w:hint="eastAsia"/>
                        </w:rPr>
                        <m:t>Ω</m:t>
                      </m:r>
                      <m:r>
                        <m:rPr>
                          <m:sty m:val="p"/>
                        </m:rPr>
                        <w:rPr>
                          <w:rFonts w:ascii="Cambria Math" w:hAnsi="Cambria Math"/>
                        </w:rPr>
                        <m:t>∙</m:t>
                      </m:r>
                      <m:r>
                        <w:rPr>
                          <w:rFonts w:ascii="Cambria Math" w:hAnsi="Cambria Math"/>
                        </w:rPr>
                        <m:t xml:space="preserve">cm </m:t>
                      </m:r>
                    </m:den>
                  </m:f>
                </m:e>
              </m:d>
            </m:oMath>
          </w:p>
        </w:tc>
        <w:tc>
          <w:tcPr>
            <w:tcW w:w="1337" w:type="dxa"/>
            <w:vAlign w:val="center"/>
          </w:tcPr>
          <w:p w:rsidR="00090A91" w:rsidRPr="00090A91" w:rsidRDefault="00090A91" w:rsidP="00090A91">
            <w:pPr>
              <w:pStyle w:val="BodyTextIndent"/>
            </w:pPr>
            <w:r w:rsidRPr="00090A91">
              <w:t>0,001</w:t>
            </w:r>
          </w:p>
        </w:tc>
        <w:tc>
          <w:tcPr>
            <w:tcW w:w="1060" w:type="dxa"/>
            <w:vAlign w:val="center"/>
          </w:tcPr>
          <w:p w:rsidR="00090A91" w:rsidRPr="00090A91" w:rsidRDefault="00090A91" w:rsidP="00090A91">
            <w:pPr>
              <w:pStyle w:val="BodyTextIndent"/>
            </w:pPr>
            <w:r w:rsidRPr="00090A91">
              <w:t>0,000128</w:t>
            </w:r>
          </w:p>
        </w:tc>
        <w:tc>
          <w:tcPr>
            <w:tcW w:w="1562" w:type="dxa"/>
            <w:vAlign w:val="center"/>
          </w:tcPr>
          <w:p w:rsidR="00090A91" w:rsidRPr="00090A91" w:rsidRDefault="00090A91" w:rsidP="00090A91">
            <w:pPr>
              <w:pStyle w:val="BodyTextIndent"/>
            </w:pPr>
            <w:r w:rsidRPr="00090A91">
              <w:t>0,046</w:t>
            </w:r>
          </w:p>
        </w:tc>
      </w:tr>
      <w:tr w:rsidR="00090A91" w:rsidRPr="00090A91" w:rsidTr="0011343C">
        <w:trPr>
          <w:trHeight w:val="479"/>
        </w:trPr>
        <w:tc>
          <w:tcPr>
            <w:tcW w:w="0" w:type="auto"/>
            <w:vAlign w:val="center"/>
          </w:tcPr>
          <w:p w:rsidR="00090A91" w:rsidRPr="00090A91" w:rsidRDefault="00090A91" w:rsidP="00090A91">
            <w:pPr>
              <w:pStyle w:val="BodyTextIndent"/>
            </w:pPr>
            <w:r w:rsidRPr="00090A91">
              <w:t>W</w:t>
            </w:r>
            <m:oMath>
              <m:d>
                <m:dPr>
                  <m:ctrlPr>
                    <w:rPr>
                      <w:rFonts w:ascii="Cambria Math" w:hAnsi="Cambria Math"/>
                    </w:rPr>
                  </m:ctrlPr>
                </m:dPr>
                <m:e>
                  <m:f>
                    <m:fPr>
                      <m:ctrlPr>
                        <w:rPr>
                          <w:rFonts w:ascii="Cambria Math" w:hAnsi="Cambria Math"/>
                        </w:rPr>
                      </m:ctrlPr>
                    </m:fPr>
                    <m:num>
                      <m:r>
                        <w:rPr>
                          <w:rFonts w:ascii="Cambria Math" w:hAnsi="Cambria Math"/>
                        </w:rPr>
                        <m:t>1</m:t>
                      </m:r>
                    </m:num>
                    <m:den>
                      <m:r>
                        <m:rPr>
                          <m:sty m:val="p"/>
                        </m:rPr>
                        <w:rPr>
                          <w:rFonts w:ascii="Cambria Math" w:hAnsi="Cambria Math" w:hint="eastAsia"/>
                        </w:rPr>
                        <m:t>Ω</m:t>
                      </m:r>
                      <m:r>
                        <m:rPr>
                          <m:sty m:val="p"/>
                        </m:rPr>
                        <w:rPr>
                          <w:rFonts w:ascii="Cambria Math" w:hAnsi="Cambria Math"/>
                        </w:rPr>
                        <m:t>∙</m:t>
                      </m:r>
                      <m:r>
                        <w:rPr>
                          <w:rFonts w:ascii="Cambria Math" w:hAnsi="Cambria Math"/>
                        </w:rPr>
                        <m:t xml:space="preserve">cm </m:t>
                      </m:r>
                    </m:den>
                  </m:f>
                </m:e>
              </m:d>
            </m:oMath>
          </w:p>
        </w:tc>
        <w:tc>
          <w:tcPr>
            <w:tcW w:w="1337" w:type="dxa"/>
            <w:vAlign w:val="center"/>
          </w:tcPr>
          <w:p w:rsidR="00090A91" w:rsidRPr="00090A91" w:rsidRDefault="00090A91" w:rsidP="00090A91">
            <w:pPr>
              <w:pStyle w:val="BodyTextIndent"/>
            </w:pPr>
            <w:r w:rsidRPr="00090A91">
              <w:t>4,302</w:t>
            </w:r>
          </w:p>
        </w:tc>
        <w:tc>
          <w:tcPr>
            <w:tcW w:w="1060" w:type="dxa"/>
            <w:vAlign w:val="center"/>
          </w:tcPr>
          <w:p w:rsidR="00090A91" w:rsidRPr="00090A91" w:rsidRDefault="00090A91" w:rsidP="00090A91">
            <w:pPr>
              <w:pStyle w:val="BodyTextIndent"/>
            </w:pPr>
            <w:r w:rsidRPr="00090A91">
              <w:t>0,0075</w:t>
            </w:r>
          </w:p>
        </w:tc>
        <w:tc>
          <w:tcPr>
            <w:tcW w:w="1562" w:type="dxa"/>
            <w:vAlign w:val="center"/>
          </w:tcPr>
          <w:p w:rsidR="00090A91" w:rsidRPr="00090A91" w:rsidRDefault="00090A91" w:rsidP="00090A91">
            <w:pPr>
              <w:pStyle w:val="BodyTextIndent"/>
            </w:pPr>
            <w:r w:rsidRPr="00090A91">
              <w:t>0,0435</w:t>
            </w:r>
          </w:p>
        </w:tc>
      </w:tr>
      <w:tr w:rsidR="00090A91" w:rsidRPr="00090A91" w:rsidTr="0011343C">
        <w:trPr>
          <w:trHeight w:val="479"/>
        </w:trPr>
        <w:tc>
          <w:tcPr>
            <w:tcW w:w="0" w:type="auto"/>
            <w:vAlign w:val="center"/>
          </w:tcPr>
          <w:p w:rsidR="00090A91" w:rsidRPr="00090A91" w:rsidRDefault="00090A91" w:rsidP="00090A91">
            <w:pPr>
              <w:pStyle w:val="BodyTextIndent"/>
            </w:pPr>
            <m:oMathPara>
              <m:oMathParaPr>
                <m:jc m:val="left"/>
              </m:oMathParaPr>
              <m:oMath>
                <m:r>
                  <w:rPr>
                    <w:rFonts w:ascii="Cambria Math" w:hAnsi="Cambria Math"/>
                  </w:rPr>
                  <m:t>μ</m:t>
                </m:r>
                <m:d>
                  <m:dPr>
                    <m:ctrlPr>
                      <w:rPr>
                        <w:rFonts w:ascii="Cambria Math" w:hAnsi="Cambria Math"/>
                        <w:bCs/>
                        <w:i/>
                      </w:rPr>
                    </m:ctrlPr>
                  </m:dPr>
                  <m:e>
                    <m:f>
                      <m:fPr>
                        <m:ctrlPr>
                          <w:rPr>
                            <w:rFonts w:ascii="Cambria Math" w:hAnsi="Cambria Math"/>
                            <w:bCs/>
                            <w:i/>
                          </w:rPr>
                        </m:ctrlPr>
                      </m:fPr>
                      <m:num>
                        <m:r>
                          <w:rPr>
                            <w:rFonts w:ascii="Cambria Math" w:hAnsi="Cambria Math"/>
                          </w:rPr>
                          <m:t>1</m:t>
                        </m:r>
                      </m:num>
                      <m:den>
                        <m:r>
                          <w:rPr>
                            <w:rFonts w:ascii="Cambria Math" w:hAnsi="Cambria Math"/>
                          </w:rPr>
                          <m:t xml:space="preserve">C∙mm </m:t>
                        </m:r>
                      </m:den>
                    </m:f>
                  </m:e>
                </m:d>
              </m:oMath>
            </m:oMathPara>
          </w:p>
        </w:tc>
        <w:tc>
          <w:tcPr>
            <w:tcW w:w="1337" w:type="dxa"/>
            <w:vAlign w:val="center"/>
          </w:tcPr>
          <w:p w:rsidR="00090A91" w:rsidRPr="00090A91" w:rsidRDefault="00090A91" w:rsidP="00090A91">
            <w:pPr>
              <w:pStyle w:val="BodyTextIndent"/>
            </w:pPr>
            <w:r w:rsidRPr="00090A91">
              <w:t>10</w:t>
            </w:r>
          </w:p>
        </w:tc>
        <w:tc>
          <w:tcPr>
            <w:tcW w:w="1060" w:type="dxa"/>
            <w:vAlign w:val="center"/>
          </w:tcPr>
          <w:p w:rsidR="00090A91" w:rsidRPr="00090A91" w:rsidRDefault="00090A91" w:rsidP="00090A91">
            <w:pPr>
              <w:pStyle w:val="BodyTextIndent"/>
            </w:pPr>
            <w:r w:rsidRPr="00090A91">
              <w:t>7,848</w:t>
            </w:r>
          </w:p>
        </w:tc>
        <w:tc>
          <w:tcPr>
            <w:tcW w:w="1562" w:type="dxa"/>
            <w:vAlign w:val="center"/>
          </w:tcPr>
          <w:p w:rsidR="00090A91" w:rsidRPr="00090A91" w:rsidRDefault="00090A91" w:rsidP="00090A91">
            <w:pPr>
              <w:pStyle w:val="BodyTextIndent"/>
            </w:pPr>
            <w:r w:rsidRPr="00090A91">
              <w:t>1,68</w:t>
            </w:r>
          </w:p>
        </w:tc>
      </w:tr>
    </w:tbl>
    <w:p w:rsidR="00090A91" w:rsidRDefault="00090A91" w:rsidP="0023586C">
      <w:pPr>
        <w:pStyle w:val="BodyTextIndent"/>
      </w:pPr>
    </w:p>
    <w:p w:rsidR="00993AA8" w:rsidRDefault="00993AA8" w:rsidP="0023586C">
      <w:pPr>
        <w:pStyle w:val="BodyTextIndent"/>
      </w:pPr>
      <w:r>
        <w:t>Plugging in the parameters above allows us to extract the curvature of relaxation (BRBM/EI), which is given here:</w:t>
      </w:r>
    </w:p>
    <w:tbl>
      <w:tblPr>
        <w:tblStyle w:val="TableGrid"/>
        <w:tblW w:w="0" w:type="auto"/>
        <w:tblLook w:val="04A0" w:firstRow="1" w:lastRow="0" w:firstColumn="1" w:lastColumn="0" w:noHBand="0" w:noVBand="1"/>
      </w:tblPr>
      <w:tblGrid>
        <w:gridCol w:w="1782"/>
        <w:gridCol w:w="1782"/>
        <w:gridCol w:w="1782"/>
      </w:tblGrid>
      <w:tr w:rsidR="00993AA8" w:rsidRPr="00993AA8" w:rsidTr="0011343C">
        <w:tc>
          <w:tcPr>
            <w:tcW w:w="3218" w:type="dxa"/>
          </w:tcPr>
          <w:p w:rsidR="00993AA8" w:rsidRPr="00993AA8" w:rsidRDefault="00993AA8" w:rsidP="00993AA8">
            <w:pPr>
              <w:pStyle w:val="BodyTextIndent"/>
              <w:rPr>
                <w:b/>
              </w:rPr>
            </w:pPr>
            <w:commentRangeStart w:id="6"/>
            <w:r w:rsidRPr="00993AA8">
              <w:rPr>
                <w:b/>
              </w:rPr>
              <w:lastRenderedPageBreak/>
              <w:drawing>
                <wp:inline distT="0" distB="0" distL="0" distR="0" wp14:anchorId="4BC6C6A5" wp14:editId="23BF8F32">
                  <wp:extent cx="2051160" cy="1538370"/>
                  <wp:effectExtent l="0" t="0" r="635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torantuur\ASME-SMASIS 2012\pics\CPC_relax_components.tif"/>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051160" cy="1538370"/>
                          </a:xfrm>
                          <a:prstGeom prst="rect">
                            <a:avLst/>
                          </a:prstGeom>
                          <a:noFill/>
                          <a:ln>
                            <a:noFill/>
                          </a:ln>
                        </pic:spPr>
                      </pic:pic>
                    </a:graphicData>
                  </a:graphic>
                </wp:inline>
              </w:drawing>
            </w:r>
          </w:p>
        </w:tc>
        <w:tc>
          <w:tcPr>
            <w:tcW w:w="3035" w:type="dxa"/>
          </w:tcPr>
          <w:p w:rsidR="00993AA8" w:rsidRPr="00993AA8" w:rsidRDefault="00993AA8" w:rsidP="00993AA8">
            <w:pPr>
              <w:pStyle w:val="BodyTextIndent"/>
              <w:rPr>
                <w:b/>
              </w:rPr>
            </w:pPr>
            <w:r w:rsidRPr="00993AA8">
              <w:rPr>
                <w:b/>
              </w:rPr>
              <w:drawing>
                <wp:inline distT="0" distB="0" distL="0" distR="0" wp14:anchorId="06E5302F" wp14:editId="21762556">
                  <wp:extent cx="2049116" cy="1535374"/>
                  <wp:effectExtent l="0" t="0" r="8890" b="8255"/>
                  <wp:docPr id="8" name="Picture 8" descr="D:\doktorantuur\ASME-SMASIS 2012\pics\CPC_relax_component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torantuur\ASME-SMASIS 2012\pics\CPC_relax_components.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3115" cy="1538370"/>
                          </a:xfrm>
                          <a:prstGeom prst="rect">
                            <a:avLst/>
                          </a:prstGeom>
                          <a:noFill/>
                          <a:ln>
                            <a:noFill/>
                          </a:ln>
                        </pic:spPr>
                      </pic:pic>
                    </a:graphicData>
                  </a:graphic>
                </wp:inline>
              </w:drawing>
            </w:r>
          </w:p>
        </w:tc>
        <w:tc>
          <w:tcPr>
            <w:tcW w:w="3035" w:type="dxa"/>
          </w:tcPr>
          <w:p w:rsidR="00993AA8" w:rsidRPr="00993AA8" w:rsidRDefault="00993AA8" w:rsidP="00993AA8">
            <w:pPr>
              <w:pStyle w:val="BodyTextIndent"/>
              <w:rPr>
                <w:b/>
              </w:rPr>
            </w:pPr>
            <w:r w:rsidRPr="00993AA8">
              <w:rPr>
                <w:b/>
              </w:rPr>
              <w:drawing>
                <wp:inline distT="0" distB="0" distL="0" distR="0" wp14:anchorId="4C8318CD" wp14:editId="5C5B5207">
                  <wp:extent cx="2053115" cy="1363161"/>
                  <wp:effectExtent l="0" t="0" r="444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torantuur\ASME-SMASIS 2012\pics\CPC_relax_components.tif"/>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53115" cy="1363161"/>
                          </a:xfrm>
                          <a:prstGeom prst="rect">
                            <a:avLst/>
                          </a:prstGeom>
                          <a:noFill/>
                          <a:ln>
                            <a:noFill/>
                          </a:ln>
                        </pic:spPr>
                      </pic:pic>
                    </a:graphicData>
                  </a:graphic>
                </wp:inline>
              </w:drawing>
            </w:r>
          </w:p>
        </w:tc>
      </w:tr>
      <w:tr w:rsidR="00993AA8" w:rsidRPr="00993AA8" w:rsidTr="0011343C">
        <w:tc>
          <w:tcPr>
            <w:tcW w:w="3218" w:type="dxa"/>
          </w:tcPr>
          <w:p w:rsidR="00993AA8" w:rsidRPr="00993AA8" w:rsidRDefault="00993AA8" w:rsidP="00993AA8">
            <w:pPr>
              <w:pStyle w:val="BodyTextIndent"/>
              <w:rPr>
                <w:b/>
              </w:rPr>
            </w:pPr>
            <w:r w:rsidRPr="00993AA8">
              <w:rPr>
                <w:b/>
              </w:rPr>
              <w:t>MS</w:t>
            </w:r>
          </w:p>
        </w:tc>
        <w:tc>
          <w:tcPr>
            <w:tcW w:w="3035" w:type="dxa"/>
          </w:tcPr>
          <w:p w:rsidR="00993AA8" w:rsidRPr="00993AA8" w:rsidRDefault="00993AA8" w:rsidP="00993AA8">
            <w:pPr>
              <w:pStyle w:val="BodyTextIndent"/>
              <w:rPr>
                <w:b/>
              </w:rPr>
            </w:pPr>
            <w:r w:rsidRPr="00993AA8">
              <w:rPr>
                <w:b/>
              </w:rPr>
              <w:t>CPC</w:t>
            </w:r>
          </w:p>
        </w:tc>
        <w:tc>
          <w:tcPr>
            <w:tcW w:w="3035" w:type="dxa"/>
          </w:tcPr>
          <w:p w:rsidR="00993AA8" w:rsidRPr="00993AA8" w:rsidRDefault="00993AA8" w:rsidP="00993AA8">
            <w:pPr>
              <w:pStyle w:val="BodyTextIndent"/>
              <w:rPr>
                <w:b/>
              </w:rPr>
            </w:pPr>
            <w:proofErr w:type="spellStart"/>
            <w:r w:rsidRPr="00993AA8">
              <w:rPr>
                <w:b/>
              </w:rPr>
              <w:t>Kuld</w:t>
            </w:r>
            <w:proofErr w:type="spellEnd"/>
            <w:r w:rsidRPr="00993AA8">
              <w:rPr>
                <w:b/>
              </w:rPr>
              <w:t xml:space="preserve"> IPMC</w:t>
            </w:r>
            <w:commentRangeEnd w:id="6"/>
            <w:r>
              <w:rPr>
                <w:rStyle w:val="CommentReference"/>
              </w:rPr>
              <w:commentReference w:id="6"/>
            </w:r>
          </w:p>
        </w:tc>
      </w:tr>
    </w:tbl>
    <w:p w:rsidR="00993AA8" w:rsidRDefault="00993AA8" w:rsidP="0023586C">
      <w:pPr>
        <w:pStyle w:val="BodyTextIndent"/>
      </w:pPr>
    </w:p>
    <w:p w:rsidR="008B61D2" w:rsidRDefault="008B61D2">
      <w:pPr>
        <w:pStyle w:val="AcknowledgmentsClauseTitle"/>
      </w:pPr>
      <w:r>
        <w:t>Acknowledgments</w:t>
      </w:r>
    </w:p>
    <w:p w:rsidR="008B61D2" w:rsidRDefault="008B61D2">
      <w:pPr>
        <w:pStyle w:val="BodyTextIndent"/>
      </w:pPr>
      <w:r>
        <w:t>Put acknowledgments here.</w:t>
      </w:r>
    </w:p>
    <w:p w:rsidR="008B61D2" w:rsidRDefault="008B61D2">
      <w:pPr>
        <w:pStyle w:val="ReferencesClauseTitle"/>
      </w:pPr>
      <w:r>
        <w:t>References</w:t>
      </w:r>
    </w:p>
    <w:p w:rsidR="008B61D2" w:rsidRDefault="008B61D2">
      <w:pPr>
        <w:pStyle w:val="BodyTextIndent"/>
      </w:pPr>
      <w:r>
        <w:t>Put references here.</w:t>
      </w:r>
    </w:p>
    <w:p w:rsidR="008B61D2" w:rsidRDefault="008B61D2">
      <w:pPr>
        <w:pStyle w:val="BodyTextIndent"/>
      </w:pPr>
    </w:p>
    <w:p w:rsidR="008B61D2" w:rsidRDefault="008B61D2">
      <w:pPr>
        <w:pStyle w:val="BodyTextIndent"/>
        <w:sectPr w:rsidR="008B61D2">
          <w:type w:val="continuous"/>
          <w:pgSz w:w="12240" w:h="15840"/>
          <w:pgMar w:top="1440" w:right="720" w:bottom="1440" w:left="720" w:header="720" w:footer="720" w:gutter="0"/>
          <w:cols w:num="2" w:space="540" w:equalWidth="0">
            <w:col w:w="5130" w:space="540"/>
            <w:col w:w="5130"/>
          </w:cols>
        </w:sectPr>
      </w:pPr>
    </w:p>
    <w:p w:rsidR="008B61D2" w:rsidRDefault="008B61D2">
      <w:pPr>
        <w:pStyle w:val="TextHeading1"/>
        <w:jc w:val="center"/>
      </w:pPr>
      <w:r>
        <w:lastRenderedPageBreak/>
        <w:t xml:space="preserve">Annex </w:t>
      </w:r>
      <w:r>
        <w:fldChar w:fldCharType="begin"/>
      </w:r>
      <w:r>
        <w:instrText xml:space="preserve"> SEQ headAnnex \* alphabetic \* upper </w:instrText>
      </w:r>
      <w:r>
        <w:fldChar w:fldCharType="separate"/>
      </w:r>
      <w:r>
        <w:rPr>
          <w:caps w:val="0"/>
          <w:noProof/>
        </w:rPr>
        <w:t>A</w:t>
      </w:r>
      <w:r>
        <w:fldChar w:fldCharType="end"/>
      </w:r>
    </w:p>
    <w:p w:rsidR="008B61D2" w:rsidRDefault="008B61D2">
      <w:pPr>
        <w:pStyle w:val="TextHeading1"/>
        <w:jc w:val="center"/>
      </w:pPr>
      <w:r>
        <w:t>Put Annex title here</w:t>
      </w:r>
    </w:p>
    <w:p w:rsidR="008B61D2" w:rsidRDefault="008B61D2">
      <w:pPr>
        <w:pStyle w:val="BodyTextIndent"/>
      </w:pPr>
    </w:p>
    <w:p w:rsidR="008B61D2" w:rsidRDefault="008B61D2">
      <w:pPr>
        <w:pStyle w:val="BodyTextIndent"/>
      </w:pPr>
    </w:p>
    <w:p w:rsidR="008B61D2" w:rsidRDefault="008B61D2">
      <w:pPr>
        <w:pStyle w:val="BodyTextIndent"/>
      </w:pPr>
    </w:p>
    <w:p w:rsidR="008B61D2" w:rsidRDefault="008B61D2">
      <w:pPr>
        <w:pStyle w:val="BodyTextIndent"/>
        <w:sectPr w:rsidR="008B61D2">
          <w:pgSz w:w="12240" w:h="15840"/>
          <w:pgMar w:top="1440" w:right="720" w:bottom="1440" w:left="720" w:header="720" w:footer="720" w:gutter="0"/>
          <w:cols w:space="540"/>
        </w:sectPr>
      </w:pPr>
    </w:p>
    <w:p w:rsidR="008B61D2" w:rsidRDefault="008B61D2">
      <w:pPr>
        <w:pStyle w:val="BodyTextIndent"/>
      </w:pPr>
      <w:r>
        <w:lastRenderedPageBreak/>
        <w:t>Put text of Annex here</w:t>
      </w:r>
    </w:p>
    <w:p w:rsidR="008B61D2" w:rsidRDefault="008B61D2">
      <w:pPr>
        <w:pStyle w:val="BodyTextIndent"/>
      </w:pPr>
    </w:p>
    <w:p w:rsidR="00993AA8" w:rsidRDefault="00993AA8">
      <w:pPr>
        <w:pStyle w:val="BodyTextIndent"/>
      </w:pPr>
    </w:p>
    <w:p w:rsidR="00993AA8" w:rsidRPr="00993AA8" w:rsidRDefault="00993AA8" w:rsidP="00993AA8">
      <w:pPr>
        <w:pStyle w:val="BodyTextIndent"/>
        <w:rPr>
          <w:b/>
        </w:rPr>
      </w:pPr>
      <w:r w:rsidRPr="00993AA8">
        <w:rPr>
          <w:b/>
        </w:rPr>
        <w:t>Notes:</w:t>
      </w:r>
    </w:p>
    <w:p w:rsidR="00993AA8" w:rsidRPr="00993AA8" w:rsidRDefault="00993AA8" w:rsidP="00993AA8">
      <w:pPr>
        <w:pStyle w:val="BodyTextIndent"/>
        <w:rPr>
          <w:b/>
        </w:rPr>
      </w:pPr>
      <w:r w:rsidRPr="00993AA8">
        <w:rPr>
          <w:b/>
        </w:rPr>
        <w:t>Graphics:</w:t>
      </w:r>
    </w:p>
    <w:p w:rsidR="00993AA8" w:rsidRPr="00993AA8" w:rsidRDefault="00993AA8" w:rsidP="00993AA8">
      <w:pPr>
        <w:pStyle w:val="BodyTextIndent"/>
        <w:rPr>
          <w:lang w:val="et-EE"/>
        </w:rPr>
      </w:pPr>
      <w:r w:rsidRPr="00993AA8">
        <w:rPr>
          <w:lang w:val="et-EE"/>
        </w:rPr>
        <w:t xml:space="preserve">  3 9/16 </w:t>
      </w:r>
      <w:proofErr w:type="spellStart"/>
      <w:r w:rsidRPr="00993AA8">
        <w:rPr>
          <w:lang w:val="et-EE"/>
        </w:rPr>
        <w:t>in</w:t>
      </w:r>
      <w:proofErr w:type="spellEnd"/>
      <w:r w:rsidRPr="00993AA8">
        <w:rPr>
          <w:lang w:val="et-EE"/>
        </w:rPr>
        <w:t xml:space="preserve">. - </w:t>
      </w:r>
      <w:proofErr w:type="spellStart"/>
      <w:r w:rsidRPr="00993AA8">
        <w:rPr>
          <w:lang w:val="et-EE"/>
        </w:rPr>
        <w:t>to</w:t>
      </w:r>
      <w:proofErr w:type="spellEnd"/>
      <w:r w:rsidRPr="00993AA8">
        <w:rPr>
          <w:lang w:val="et-EE"/>
        </w:rPr>
        <w:t xml:space="preserve"> </w:t>
      </w:r>
      <w:proofErr w:type="spellStart"/>
      <w:r w:rsidRPr="00993AA8">
        <w:rPr>
          <w:lang w:val="et-EE"/>
        </w:rPr>
        <w:t>fit</w:t>
      </w:r>
      <w:proofErr w:type="spellEnd"/>
      <w:r w:rsidRPr="00993AA8">
        <w:rPr>
          <w:lang w:val="et-EE"/>
        </w:rPr>
        <w:t xml:space="preserve"> </w:t>
      </w:r>
      <w:proofErr w:type="spellStart"/>
      <w:r w:rsidRPr="00993AA8">
        <w:rPr>
          <w:lang w:val="et-EE"/>
        </w:rPr>
        <w:t>width</w:t>
      </w:r>
      <w:proofErr w:type="spellEnd"/>
      <w:r w:rsidRPr="00993AA8">
        <w:rPr>
          <w:lang w:val="et-EE"/>
        </w:rPr>
        <w:t xml:space="preserve"> of </w:t>
      </w:r>
      <w:proofErr w:type="spellStart"/>
      <w:r w:rsidRPr="00993AA8">
        <w:rPr>
          <w:lang w:val="et-EE"/>
        </w:rPr>
        <w:t>one</w:t>
      </w:r>
      <w:proofErr w:type="spellEnd"/>
      <w:r w:rsidRPr="00993AA8">
        <w:rPr>
          <w:lang w:val="et-EE"/>
        </w:rPr>
        <w:t xml:space="preserve"> </w:t>
      </w:r>
      <w:proofErr w:type="spellStart"/>
      <w:r w:rsidRPr="00993AA8">
        <w:rPr>
          <w:lang w:val="et-EE"/>
        </w:rPr>
        <w:t>column</w:t>
      </w:r>
      <w:proofErr w:type="spellEnd"/>
      <w:r w:rsidRPr="00993AA8">
        <w:rPr>
          <w:lang w:val="et-EE"/>
        </w:rPr>
        <w:t xml:space="preserve"> </w:t>
      </w:r>
    </w:p>
    <w:p w:rsidR="00993AA8" w:rsidRPr="00993AA8" w:rsidRDefault="00993AA8" w:rsidP="00993AA8">
      <w:pPr>
        <w:pStyle w:val="BodyTextIndent"/>
        <w:rPr>
          <w:b/>
        </w:rPr>
      </w:pPr>
      <w:r w:rsidRPr="00993AA8">
        <w:rPr>
          <w:lang w:val="et-EE"/>
        </w:rPr>
        <w:t xml:space="preserve">  7 1/2 </w:t>
      </w:r>
      <w:proofErr w:type="spellStart"/>
      <w:r w:rsidRPr="00993AA8">
        <w:rPr>
          <w:lang w:val="et-EE"/>
        </w:rPr>
        <w:t>in</w:t>
      </w:r>
      <w:proofErr w:type="spellEnd"/>
      <w:r w:rsidRPr="00993AA8">
        <w:rPr>
          <w:lang w:val="et-EE"/>
        </w:rPr>
        <w:t xml:space="preserve">. - </w:t>
      </w:r>
      <w:proofErr w:type="spellStart"/>
      <w:r w:rsidRPr="00993AA8">
        <w:rPr>
          <w:lang w:val="et-EE"/>
        </w:rPr>
        <w:t>to</w:t>
      </w:r>
      <w:proofErr w:type="spellEnd"/>
      <w:r w:rsidRPr="00993AA8">
        <w:rPr>
          <w:lang w:val="et-EE"/>
        </w:rPr>
        <w:t xml:space="preserve"> </w:t>
      </w:r>
      <w:proofErr w:type="spellStart"/>
      <w:r w:rsidRPr="00993AA8">
        <w:rPr>
          <w:lang w:val="et-EE"/>
        </w:rPr>
        <w:t>fit</w:t>
      </w:r>
      <w:proofErr w:type="spellEnd"/>
      <w:r w:rsidRPr="00993AA8">
        <w:rPr>
          <w:lang w:val="et-EE"/>
        </w:rPr>
        <w:t xml:space="preserve"> </w:t>
      </w:r>
      <w:proofErr w:type="spellStart"/>
      <w:r w:rsidRPr="00993AA8">
        <w:rPr>
          <w:lang w:val="et-EE"/>
        </w:rPr>
        <w:t>across</w:t>
      </w:r>
      <w:proofErr w:type="spellEnd"/>
      <w:r w:rsidRPr="00993AA8">
        <w:rPr>
          <w:lang w:val="et-EE"/>
        </w:rPr>
        <w:t xml:space="preserve"> </w:t>
      </w:r>
      <w:proofErr w:type="spellStart"/>
      <w:r w:rsidRPr="00993AA8">
        <w:rPr>
          <w:lang w:val="et-EE"/>
        </w:rPr>
        <w:t>the</w:t>
      </w:r>
      <w:proofErr w:type="spellEnd"/>
      <w:r w:rsidRPr="00993AA8">
        <w:rPr>
          <w:lang w:val="et-EE"/>
        </w:rPr>
        <w:t xml:space="preserve"> </w:t>
      </w:r>
      <w:proofErr w:type="spellStart"/>
      <w:r w:rsidRPr="00993AA8">
        <w:rPr>
          <w:lang w:val="et-EE"/>
        </w:rPr>
        <w:t>top</w:t>
      </w:r>
      <w:proofErr w:type="spellEnd"/>
      <w:r w:rsidRPr="00993AA8">
        <w:rPr>
          <w:lang w:val="et-EE"/>
        </w:rPr>
        <w:t xml:space="preserve"> of </w:t>
      </w:r>
      <w:proofErr w:type="spellStart"/>
      <w:r w:rsidRPr="00993AA8">
        <w:rPr>
          <w:lang w:val="et-EE"/>
        </w:rPr>
        <w:t>the</w:t>
      </w:r>
      <w:proofErr w:type="spellEnd"/>
      <w:r w:rsidRPr="00993AA8">
        <w:rPr>
          <w:lang w:val="et-EE"/>
        </w:rPr>
        <w:t xml:space="preserve"> page (</w:t>
      </w:r>
      <w:proofErr w:type="spellStart"/>
      <w:r w:rsidRPr="00993AA8">
        <w:rPr>
          <w:lang w:val="et-EE"/>
        </w:rPr>
        <w:t>span</w:t>
      </w:r>
      <w:proofErr w:type="spellEnd"/>
      <w:r w:rsidRPr="00993AA8">
        <w:rPr>
          <w:lang w:val="et-EE"/>
        </w:rPr>
        <w:t xml:space="preserve"> </w:t>
      </w:r>
      <w:proofErr w:type="spellStart"/>
      <w:r w:rsidRPr="00993AA8">
        <w:rPr>
          <w:lang w:val="et-EE"/>
        </w:rPr>
        <w:t>two</w:t>
      </w:r>
      <w:proofErr w:type="spellEnd"/>
      <w:r w:rsidRPr="00993AA8">
        <w:rPr>
          <w:lang w:val="et-EE"/>
        </w:rPr>
        <w:t xml:space="preserve"> </w:t>
      </w:r>
      <w:proofErr w:type="spellStart"/>
      <w:r w:rsidRPr="00993AA8">
        <w:rPr>
          <w:lang w:val="et-EE"/>
        </w:rPr>
        <w:t>columns</w:t>
      </w:r>
      <w:proofErr w:type="spellEnd"/>
      <w:r w:rsidRPr="00993AA8">
        <w:rPr>
          <w:lang w:val="et-EE"/>
        </w:rPr>
        <w:t>)</w:t>
      </w:r>
    </w:p>
    <w:p w:rsidR="00993AA8" w:rsidRDefault="00993AA8">
      <w:pPr>
        <w:pStyle w:val="BodyTextIndent"/>
      </w:pPr>
    </w:p>
    <w:sectPr w:rsidR="00993AA8">
      <w:type w:val="continuous"/>
      <w:pgSz w:w="12240" w:h="15840"/>
      <w:pgMar w:top="1440" w:right="720" w:bottom="1440" w:left="720" w:header="720" w:footer="720" w:gutter="0"/>
      <w:cols w:num="2" w:space="540" w:equalWidth="0">
        <w:col w:w="5130" w:space="540"/>
        <w:col w:w="513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Veiko" w:date="2012-05-22T17:23:00Z" w:initials="VV">
    <w:p w:rsidR="00993AA8" w:rsidRDefault="00993AA8">
      <w:pPr>
        <w:pStyle w:val="CommentText"/>
      </w:pPr>
      <w:r>
        <w:rPr>
          <w:rStyle w:val="CommentReference"/>
        </w:rPr>
        <w:annotationRef/>
      </w:r>
      <w:proofErr w:type="spellStart"/>
      <w:r>
        <w:t>Siin</w:t>
      </w:r>
      <w:proofErr w:type="spellEnd"/>
      <w:r>
        <w:t xml:space="preserve"> on </w:t>
      </w:r>
      <w:proofErr w:type="spellStart"/>
      <w:r>
        <w:t>veel</w:t>
      </w:r>
      <w:proofErr w:type="spellEnd"/>
      <w:r>
        <w:t xml:space="preserve"> </w:t>
      </w:r>
      <w:proofErr w:type="spellStart"/>
      <w:r>
        <w:t>nurgad</w:t>
      </w:r>
      <w:proofErr w:type="spellEnd"/>
      <w:r>
        <w:t xml:space="preserve"> </w:t>
      </w:r>
      <w:proofErr w:type="spellStart"/>
      <w:r>
        <w:t>mitte</w:t>
      </w:r>
      <w:proofErr w:type="spellEnd"/>
      <w:r>
        <w:t xml:space="preserve"> </w:t>
      </w:r>
      <w:proofErr w:type="spellStart"/>
      <w:r>
        <w:t>kõverus</w:t>
      </w:r>
      <w:proofErr w:type="spellEnd"/>
      <w:r>
        <w:t>!!!</w:t>
      </w:r>
    </w:p>
  </w:comment>
  <w:comment w:id="5" w:author="Veiko" w:date="2012-05-22T17:25:00Z" w:initials="VV">
    <w:p w:rsidR="00993AA8" w:rsidRDefault="00993AA8">
      <w:pPr>
        <w:pStyle w:val="CommentText"/>
      </w:pPr>
      <w:r>
        <w:rPr>
          <w:rStyle w:val="CommentReference"/>
        </w:rPr>
        <w:annotationRef/>
      </w:r>
      <w:r>
        <w:t xml:space="preserve">Legend </w:t>
      </w:r>
      <w:proofErr w:type="spellStart"/>
      <w:r>
        <w:t>suuremaks</w:t>
      </w:r>
      <w:proofErr w:type="spellEnd"/>
    </w:p>
  </w:comment>
  <w:comment w:id="6" w:author="Veiko" w:date="2012-05-22T17:24:00Z" w:initials="VV">
    <w:p w:rsidR="00993AA8" w:rsidRDefault="00993AA8">
      <w:pPr>
        <w:pStyle w:val="CommentText"/>
      </w:pPr>
      <w:r>
        <w:rPr>
          <w:rStyle w:val="CommentReference"/>
        </w:rPr>
        <w:annotationRef/>
      </w:r>
      <w:proofErr w:type="spellStart"/>
      <w:r>
        <w:t>Siin</w:t>
      </w:r>
      <w:proofErr w:type="spellEnd"/>
      <w:r>
        <w:t xml:space="preserve"> on </w:t>
      </w:r>
      <w:proofErr w:type="spellStart"/>
      <w:r>
        <w:t>ka</w:t>
      </w:r>
      <w:proofErr w:type="spellEnd"/>
      <w:r>
        <w:t xml:space="preserve"> </w:t>
      </w:r>
      <w:proofErr w:type="spellStart"/>
      <w:r>
        <w:t>tagasivajumise</w:t>
      </w:r>
      <w:proofErr w:type="spellEnd"/>
      <w:r>
        <w:t xml:space="preserve"> </w:t>
      </w:r>
      <w:proofErr w:type="spellStart"/>
      <w:r>
        <w:t>nurgad</w:t>
      </w:r>
      <w:proofErr w:type="spellEnd"/>
      <w:r>
        <w:t xml:space="preserve">. </w:t>
      </w:r>
      <w:proofErr w:type="spellStart"/>
      <w:r>
        <w:t>Teha</w:t>
      </w:r>
      <w:proofErr w:type="spellEnd"/>
      <w:r>
        <w:t xml:space="preserve"> </w:t>
      </w:r>
      <w:proofErr w:type="spellStart"/>
      <w:r>
        <w:t>kõveruseks</w:t>
      </w:r>
      <w:proofErr w:type="spellEnd"/>
      <w:r>
        <w:t xml:space="preserve">! </w:t>
      </w:r>
      <w:proofErr w:type="spellStart"/>
      <w:r>
        <w:t>Ehk</w:t>
      </w:r>
      <w:proofErr w:type="spellEnd"/>
      <w:r>
        <w:t xml:space="preserve"> </w:t>
      </w:r>
      <w:proofErr w:type="spellStart"/>
      <w:r>
        <w:t>jagada</w:t>
      </w:r>
      <w:proofErr w:type="spellEnd"/>
      <w:r>
        <w:t xml:space="preserve"> </w:t>
      </w:r>
      <w:proofErr w:type="spellStart"/>
      <w:r>
        <w:t>vektori</w:t>
      </w:r>
      <w:proofErr w:type="spellEnd"/>
      <w:r>
        <w:t xml:space="preserve"> </w:t>
      </w:r>
      <w:proofErr w:type="spellStart"/>
      <w:r>
        <w:t>pikkuse</w:t>
      </w:r>
      <w:proofErr w:type="spellEnd"/>
      <w:r>
        <w:t xml:space="preserve"> ds-</w:t>
      </w:r>
      <w:proofErr w:type="spellStart"/>
      <w:r>
        <w:t>ga</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2B" w:rsidRDefault="00FF6F2B">
      <w:r>
        <w:separator/>
      </w:r>
    </w:p>
  </w:endnote>
  <w:endnote w:type="continuationSeparator" w:id="0">
    <w:p w:rsidR="00FF6F2B" w:rsidRDefault="00FF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D2" w:rsidRDefault="008B61D2">
    <w:pPr>
      <w:pStyle w:val="Footer"/>
    </w:pPr>
    <w:r>
      <w:tab/>
    </w:r>
    <w:r>
      <w:fldChar w:fldCharType="begin"/>
    </w:r>
    <w:r>
      <w:instrText xml:space="preserve"> PAGE  \* MERGEFORMAT </w:instrText>
    </w:r>
    <w:r>
      <w:fldChar w:fldCharType="separate"/>
    </w:r>
    <w:r w:rsidR="006012FA">
      <w:rPr>
        <w:noProof/>
      </w:rPr>
      <w:t>3</w:t>
    </w:r>
    <w:r>
      <w:fldChar w:fldCharType="end"/>
    </w:r>
    <w:r>
      <w:tab/>
      <w:t>Copyright © 20</w:t>
    </w:r>
    <w:r w:rsidR="00120123">
      <w:t>12</w:t>
    </w:r>
    <w:r>
      <w:t xml:space="preserve"> by ASME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2B" w:rsidRDefault="00FF6F2B">
      <w:r>
        <w:separator/>
      </w:r>
    </w:p>
  </w:footnote>
  <w:footnote w:type="continuationSeparator" w:id="0">
    <w:p w:rsidR="00FF6F2B" w:rsidRDefault="00FF6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5E2D"/>
    <w:multiLevelType w:val="hybridMultilevel"/>
    <w:tmpl w:val="3C06190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13211DC1"/>
    <w:multiLevelType w:val="hybridMultilevel"/>
    <w:tmpl w:val="9310796A"/>
    <w:lvl w:ilvl="0" w:tplc="4418E1F4">
      <w:start w:val="1"/>
      <w:numFmt w:val="decimal"/>
      <w:pStyle w:val="EQNumbering"/>
      <w:lvlText w:val="(%1)"/>
      <w:lvlJc w:val="left"/>
      <w:pPr>
        <w:ind w:left="360" w:hanging="360"/>
      </w:pPr>
      <w:rPr>
        <w:rFonts w:ascii="Times New Roman" w:hAnsi="Times New Roman" w:cs="Times New Roman" w:hint="default"/>
        <w:sz w:val="20"/>
        <w:szCs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nsid w:val="6056049D"/>
    <w:multiLevelType w:val="hybridMultilevel"/>
    <w:tmpl w:val="6B7AA45C"/>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635A368C"/>
    <w:multiLevelType w:val="hybridMultilevel"/>
    <w:tmpl w:val="29D42740"/>
    <w:lvl w:ilvl="0" w:tplc="03FAE2F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NewFlag" w:val="Yes"/>
    <w:docVar w:name="CreateASMEToolbarFlag" w:val="-1"/>
    <w:docVar w:name="MarkTerritory" w:val="D:\ASME\proposal\AuthKit\version2\irvine7.doc by Howard Kaikow with template C:\msoffice\Templates\ASME.dot on 02/29/96 at 11:01"/>
    <w:docVar w:name="MarkTerritoryLocal" w:val="Document2 by Howard Kaikow with template C:\msoffice\Templates\ASME.dot on 02/29/96 at 10:39"/>
    <w:docVar w:name="SetStylesFlag" w:val="-1"/>
  </w:docVars>
  <w:rsids>
    <w:rsidRoot w:val="007B2BF3"/>
    <w:rsid w:val="00090A91"/>
    <w:rsid w:val="000F3898"/>
    <w:rsid w:val="00120123"/>
    <w:rsid w:val="001E77B6"/>
    <w:rsid w:val="00223661"/>
    <w:rsid w:val="0023586C"/>
    <w:rsid w:val="006012FA"/>
    <w:rsid w:val="007B2BF3"/>
    <w:rsid w:val="00801BC6"/>
    <w:rsid w:val="008B61D2"/>
    <w:rsid w:val="00993AA8"/>
    <w:rsid w:val="00CB092F"/>
    <w:rsid w:val="00D46FBC"/>
    <w:rsid w:val="00E93097"/>
    <w:rsid w:val="00FF6F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overflowPunct w:val="0"/>
      <w:autoSpaceDE w:val="0"/>
      <w:autoSpaceDN w:val="0"/>
      <w:adjustRightInd w:val="0"/>
      <w:jc w:val="both"/>
      <w:textAlignment w:val="baseline"/>
    </w:pPr>
    <w:rPr>
      <w:kern w:val="1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ClauseTitle">
    <w:name w:val="Abstract Clause Title"/>
    <w:basedOn w:val="Normal"/>
    <w:next w:val="BodyTextIndent"/>
    <w:pPr>
      <w:keepNext/>
    </w:pPr>
    <w:rPr>
      <w:rFonts w:ascii="Arial" w:hAnsi="Arial"/>
      <w:b/>
      <w:caps/>
    </w:rPr>
  </w:style>
  <w:style w:type="paragraph" w:styleId="BodyTextIndent">
    <w:name w:val="Body Text Indent"/>
    <w:basedOn w:val="Normal"/>
    <w:link w:val="BodyTextIndentChar"/>
    <w:pPr>
      <w:ind w:firstLine="360"/>
    </w:pPr>
  </w:style>
  <w:style w:type="paragraph" w:customStyle="1" w:styleId="AcknowledgmentsClauseTitle">
    <w:name w:val="Acknowledgments Clause Title"/>
    <w:basedOn w:val="Normal"/>
    <w:next w:val="BodyTextIndent"/>
    <w:pPr>
      <w:keepNext/>
      <w:spacing w:before="240"/>
    </w:pPr>
    <w:rPr>
      <w:rFonts w:ascii="Arial" w:hAnsi="Arial"/>
      <w:b/>
      <w:caps/>
    </w:rPr>
  </w:style>
  <w:style w:type="paragraph" w:customStyle="1" w:styleId="Affiliation">
    <w:name w:val="Affiliation"/>
    <w:basedOn w:val="Normal"/>
    <w:pPr>
      <w:jc w:val="center"/>
    </w:pPr>
    <w:rPr>
      <w:rFonts w:ascii="Arial" w:hAnsi="Arial"/>
    </w:rPr>
  </w:style>
  <w:style w:type="paragraph" w:customStyle="1" w:styleId="Author">
    <w:name w:val="Author"/>
    <w:basedOn w:val="Normal"/>
    <w:next w:val="Affiliation"/>
    <w:pPr>
      <w:keepNext/>
      <w:jc w:val="center"/>
    </w:pPr>
    <w:rPr>
      <w:rFonts w:ascii="Arial" w:hAnsi="Arial"/>
      <w:b/>
    </w:rPr>
  </w:style>
  <w:style w:type="paragraph" w:customStyle="1" w:styleId="DocumentNumber">
    <w:name w:val="Document Number"/>
    <w:basedOn w:val="Normal"/>
    <w:next w:val="BodyTextIndent"/>
    <w:pPr>
      <w:spacing w:before="900"/>
      <w:jc w:val="right"/>
    </w:pPr>
    <w:rPr>
      <w:rFonts w:ascii="Arial" w:hAnsi="Arial"/>
      <w:b/>
      <w:sz w:val="36"/>
    </w:rPr>
  </w:style>
  <w:style w:type="paragraph" w:customStyle="1" w:styleId="EquationNumber">
    <w:name w:val="Equation Number"/>
    <w:basedOn w:val="Normal"/>
    <w:next w:val="BodyTextIndent"/>
    <w:pPr>
      <w:jc w:val="right"/>
    </w:pPr>
  </w:style>
  <w:style w:type="paragraph" w:customStyle="1" w:styleId="FigureCaption">
    <w:name w:val="Figure Caption"/>
    <w:basedOn w:val="Normal"/>
    <w:next w:val="BodyTextIndent"/>
    <w:pPr>
      <w:jc w:val="center"/>
    </w:pPr>
    <w:rPr>
      <w:rFonts w:ascii="Arial" w:hAnsi="Arial"/>
      <w:b/>
    </w:rPr>
  </w:style>
  <w:style w:type="paragraph" w:styleId="Footer">
    <w:name w:val="footer"/>
    <w:basedOn w:val="Normal"/>
    <w:next w:val="Header"/>
    <w:pPr>
      <w:tabs>
        <w:tab w:val="center" w:pos="5760"/>
        <w:tab w:val="right" w:pos="10800"/>
      </w:tabs>
    </w:pPr>
  </w:style>
  <w:style w:type="paragraph" w:styleId="Header">
    <w:name w:val="header"/>
    <w:basedOn w:val="Normal"/>
    <w:next w:val="Footer"/>
  </w:style>
  <w:style w:type="paragraph" w:styleId="FootnoteText">
    <w:name w:val="footnote text"/>
    <w:basedOn w:val="Normal"/>
    <w:semiHidden/>
    <w:pPr>
      <w:ind w:firstLine="360"/>
    </w:pPr>
    <w:rPr>
      <w:sz w:val="16"/>
    </w:rPr>
  </w:style>
  <w:style w:type="paragraph" w:customStyle="1" w:styleId="NomenclatureClauseTitle">
    <w:name w:val="Nomenclature Clause Title"/>
    <w:basedOn w:val="Normal"/>
    <w:next w:val="BodyTextIndent"/>
    <w:pPr>
      <w:keepNext/>
      <w:spacing w:before="240"/>
    </w:pPr>
    <w:rPr>
      <w:rFonts w:ascii="Arial" w:hAnsi="Arial"/>
      <w:b/>
      <w:caps/>
    </w:rPr>
  </w:style>
  <w:style w:type="paragraph" w:customStyle="1" w:styleId="ReferencesClauseTitle">
    <w:name w:val="References Clause Title"/>
    <w:basedOn w:val="Normal"/>
    <w:next w:val="BodyTextIndent"/>
    <w:pPr>
      <w:keepNext/>
      <w:spacing w:before="240"/>
    </w:pPr>
    <w:rPr>
      <w:rFonts w:ascii="Arial" w:hAnsi="Arial"/>
      <w:b/>
      <w:caps/>
    </w:rPr>
  </w:style>
  <w:style w:type="paragraph" w:customStyle="1" w:styleId="TableCaption">
    <w:name w:val="Table Caption"/>
    <w:basedOn w:val="Normal"/>
    <w:next w:val="BodyTextIndent"/>
    <w:pPr>
      <w:jc w:val="center"/>
    </w:pPr>
    <w:rPr>
      <w:rFonts w:ascii="Arial" w:hAnsi="Arial"/>
      <w:b/>
    </w:rPr>
  </w:style>
  <w:style w:type="paragraph" w:customStyle="1" w:styleId="TextHeading1">
    <w:name w:val="Text Heading 1"/>
    <w:basedOn w:val="Normal"/>
    <w:next w:val="BodyTextIndent"/>
    <w:pPr>
      <w:keepNext/>
      <w:spacing w:before="240"/>
    </w:pPr>
    <w:rPr>
      <w:rFonts w:ascii="Arial" w:hAnsi="Arial"/>
      <w:b/>
      <w:caps/>
    </w:rPr>
  </w:style>
  <w:style w:type="paragraph" w:customStyle="1" w:styleId="TextHeading2">
    <w:name w:val="Text Heading 2"/>
    <w:basedOn w:val="Normal"/>
    <w:next w:val="BodyTextIndent"/>
    <w:pPr>
      <w:keepNext/>
      <w:spacing w:before="240"/>
    </w:pPr>
    <w:rPr>
      <w:rFonts w:ascii="Arial" w:hAnsi="Arial"/>
      <w:b/>
      <w:u w:val="single"/>
    </w:rPr>
  </w:style>
  <w:style w:type="paragraph" w:customStyle="1" w:styleId="TextHeading3">
    <w:name w:val="Text Heading 3"/>
    <w:basedOn w:val="Normal"/>
    <w:next w:val="BodyTextIndent"/>
    <w:pPr>
      <w:spacing w:before="240"/>
      <w:ind w:left="360"/>
    </w:pPr>
    <w:rPr>
      <w:rFonts w:ascii="Arial" w:hAnsi="Arial"/>
      <w:b/>
      <w:u w:val="single"/>
    </w:rPr>
  </w:style>
  <w:style w:type="paragraph" w:styleId="Title">
    <w:name w:val="Title"/>
    <w:basedOn w:val="Normal"/>
    <w:qFormat/>
    <w:pPr>
      <w:spacing w:before="760"/>
      <w:jc w:val="center"/>
    </w:pPr>
    <w:rPr>
      <w:rFonts w:ascii="Arial" w:hAnsi="Arial"/>
      <w:b/>
      <w:caps/>
      <w:sz w:val="24"/>
    </w:rPr>
  </w:style>
  <w:style w:type="paragraph" w:styleId="PlainText">
    <w:name w:val="Plain Text"/>
    <w:basedOn w:val="Normal"/>
    <w:pPr>
      <w:suppressAutoHyphens w:val="0"/>
      <w:overflowPunct/>
      <w:autoSpaceDE/>
      <w:autoSpaceDN/>
      <w:adjustRightInd/>
      <w:jc w:val="left"/>
      <w:textAlignment w:val="auto"/>
    </w:pPr>
    <w:rPr>
      <w:rFonts w:ascii="Courier New" w:hAnsi="Courier New" w:cs="Courier New"/>
      <w:kern w:val="0"/>
    </w:rPr>
  </w:style>
  <w:style w:type="table" w:styleId="TableGrid">
    <w:name w:val="Table Grid"/>
    <w:basedOn w:val="TableNormal"/>
    <w:uiPriority w:val="59"/>
    <w:rsid w:val="00223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23661"/>
    <w:rPr>
      <w:rFonts w:ascii="Tahoma" w:hAnsi="Tahoma" w:cs="Tahoma"/>
      <w:sz w:val="16"/>
      <w:szCs w:val="16"/>
    </w:rPr>
  </w:style>
  <w:style w:type="character" w:customStyle="1" w:styleId="BalloonTextChar">
    <w:name w:val="Balloon Text Char"/>
    <w:basedOn w:val="DefaultParagraphFont"/>
    <w:link w:val="BalloonText"/>
    <w:rsid w:val="00223661"/>
    <w:rPr>
      <w:rFonts w:ascii="Tahoma" w:hAnsi="Tahoma" w:cs="Tahoma"/>
      <w:kern w:val="14"/>
      <w:sz w:val="16"/>
      <w:szCs w:val="16"/>
      <w:lang w:val="en-US" w:eastAsia="en-US"/>
    </w:rPr>
  </w:style>
  <w:style w:type="character" w:styleId="PlaceholderText">
    <w:name w:val="Placeholder Text"/>
    <w:basedOn w:val="DefaultParagraphFont"/>
    <w:uiPriority w:val="99"/>
    <w:semiHidden/>
    <w:rsid w:val="00D46FBC"/>
    <w:rPr>
      <w:color w:val="808080"/>
    </w:rPr>
  </w:style>
  <w:style w:type="paragraph" w:customStyle="1" w:styleId="EQNumbering">
    <w:name w:val="EQNumbering"/>
    <w:basedOn w:val="Normal"/>
    <w:link w:val="EQNumberingChar"/>
    <w:rsid w:val="00D46FBC"/>
    <w:pPr>
      <w:numPr>
        <w:numId w:val="1"/>
      </w:numPr>
      <w:suppressAutoHyphens w:val="0"/>
      <w:overflowPunct/>
      <w:autoSpaceDE/>
      <w:autoSpaceDN/>
      <w:adjustRightInd/>
      <w:spacing w:after="200" w:line="360" w:lineRule="auto"/>
      <w:ind w:left="357" w:hanging="357"/>
      <w:jc w:val="right"/>
      <w:textAlignment w:val="auto"/>
    </w:pPr>
    <w:rPr>
      <w:rFonts w:eastAsiaTheme="minorHAnsi" w:cstheme="minorBidi"/>
      <w:kern w:val="0"/>
      <w:sz w:val="24"/>
      <w:szCs w:val="22"/>
      <w:lang w:val="et-EE"/>
    </w:rPr>
  </w:style>
  <w:style w:type="character" w:customStyle="1" w:styleId="EQNumberingChar">
    <w:name w:val="EQNumbering Char"/>
    <w:basedOn w:val="DefaultParagraphFont"/>
    <w:link w:val="EQNumbering"/>
    <w:rsid w:val="00D46FBC"/>
    <w:rPr>
      <w:rFonts w:eastAsiaTheme="minorHAnsi" w:cstheme="minorBidi"/>
      <w:sz w:val="24"/>
      <w:szCs w:val="22"/>
      <w:lang w:eastAsia="en-US"/>
    </w:rPr>
  </w:style>
  <w:style w:type="character" w:customStyle="1" w:styleId="BodyTextIndentChar">
    <w:name w:val="Body Text Indent Char"/>
    <w:basedOn w:val="DefaultParagraphFont"/>
    <w:link w:val="BodyTextIndent"/>
    <w:rsid w:val="000F3898"/>
    <w:rPr>
      <w:kern w:val="14"/>
      <w:lang w:val="en-US" w:eastAsia="en-US"/>
    </w:rPr>
  </w:style>
  <w:style w:type="character" w:styleId="CommentReference">
    <w:name w:val="annotation reference"/>
    <w:basedOn w:val="DefaultParagraphFont"/>
    <w:rsid w:val="00993AA8"/>
    <w:rPr>
      <w:sz w:val="16"/>
      <w:szCs w:val="16"/>
    </w:rPr>
  </w:style>
  <w:style w:type="paragraph" w:styleId="CommentText">
    <w:name w:val="annotation text"/>
    <w:basedOn w:val="Normal"/>
    <w:link w:val="CommentTextChar"/>
    <w:rsid w:val="00993AA8"/>
  </w:style>
  <w:style w:type="character" w:customStyle="1" w:styleId="CommentTextChar">
    <w:name w:val="Comment Text Char"/>
    <w:basedOn w:val="DefaultParagraphFont"/>
    <w:link w:val="CommentText"/>
    <w:rsid w:val="00993AA8"/>
    <w:rPr>
      <w:kern w:val="14"/>
      <w:lang w:val="en-US" w:eastAsia="en-US"/>
    </w:rPr>
  </w:style>
  <w:style w:type="paragraph" w:styleId="CommentSubject">
    <w:name w:val="annotation subject"/>
    <w:basedOn w:val="CommentText"/>
    <w:next w:val="CommentText"/>
    <w:link w:val="CommentSubjectChar"/>
    <w:rsid w:val="00993AA8"/>
    <w:rPr>
      <w:b/>
      <w:bCs/>
    </w:rPr>
  </w:style>
  <w:style w:type="character" w:customStyle="1" w:styleId="CommentSubjectChar">
    <w:name w:val="Comment Subject Char"/>
    <w:basedOn w:val="CommentTextChar"/>
    <w:link w:val="CommentSubject"/>
    <w:rsid w:val="00993AA8"/>
    <w:rPr>
      <w:b/>
      <w:bCs/>
      <w:kern w:val="1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overflowPunct w:val="0"/>
      <w:autoSpaceDE w:val="0"/>
      <w:autoSpaceDN w:val="0"/>
      <w:adjustRightInd w:val="0"/>
      <w:jc w:val="both"/>
      <w:textAlignment w:val="baseline"/>
    </w:pPr>
    <w:rPr>
      <w:kern w:val="1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ClauseTitle">
    <w:name w:val="Abstract Clause Title"/>
    <w:basedOn w:val="Normal"/>
    <w:next w:val="BodyTextIndent"/>
    <w:pPr>
      <w:keepNext/>
    </w:pPr>
    <w:rPr>
      <w:rFonts w:ascii="Arial" w:hAnsi="Arial"/>
      <w:b/>
      <w:caps/>
    </w:rPr>
  </w:style>
  <w:style w:type="paragraph" w:styleId="BodyTextIndent">
    <w:name w:val="Body Text Indent"/>
    <w:basedOn w:val="Normal"/>
    <w:link w:val="BodyTextIndentChar"/>
    <w:pPr>
      <w:ind w:firstLine="360"/>
    </w:pPr>
  </w:style>
  <w:style w:type="paragraph" w:customStyle="1" w:styleId="AcknowledgmentsClauseTitle">
    <w:name w:val="Acknowledgments Clause Title"/>
    <w:basedOn w:val="Normal"/>
    <w:next w:val="BodyTextIndent"/>
    <w:pPr>
      <w:keepNext/>
      <w:spacing w:before="240"/>
    </w:pPr>
    <w:rPr>
      <w:rFonts w:ascii="Arial" w:hAnsi="Arial"/>
      <w:b/>
      <w:caps/>
    </w:rPr>
  </w:style>
  <w:style w:type="paragraph" w:customStyle="1" w:styleId="Affiliation">
    <w:name w:val="Affiliation"/>
    <w:basedOn w:val="Normal"/>
    <w:pPr>
      <w:jc w:val="center"/>
    </w:pPr>
    <w:rPr>
      <w:rFonts w:ascii="Arial" w:hAnsi="Arial"/>
    </w:rPr>
  </w:style>
  <w:style w:type="paragraph" w:customStyle="1" w:styleId="Author">
    <w:name w:val="Author"/>
    <w:basedOn w:val="Normal"/>
    <w:next w:val="Affiliation"/>
    <w:pPr>
      <w:keepNext/>
      <w:jc w:val="center"/>
    </w:pPr>
    <w:rPr>
      <w:rFonts w:ascii="Arial" w:hAnsi="Arial"/>
      <w:b/>
    </w:rPr>
  </w:style>
  <w:style w:type="paragraph" w:customStyle="1" w:styleId="DocumentNumber">
    <w:name w:val="Document Number"/>
    <w:basedOn w:val="Normal"/>
    <w:next w:val="BodyTextIndent"/>
    <w:pPr>
      <w:spacing w:before="900"/>
      <w:jc w:val="right"/>
    </w:pPr>
    <w:rPr>
      <w:rFonts w:ascii="Arial" w:hAnsi="Arial"/>
      <w:b/>
      <w:sz w:val="36"/>
    </w:rPr>
  </w:style>
  <w:style w:type="paragraph" w:customStyle="1" w:styleId="EquationNumber">
    <w:name w:val="Equation Number"/>
    <w:basedOn w:val="Normal"/>
    <w:next w:val="BodyTextIndent"/>
    <w:pPr>
      <w:jc w:val="right"/>
    </w:pPr>
  </w:style>
  <w:style w:type="paragraph" w:customStyle="1" w:styleId="FigureCaption">
    <w:name w:val="Figure Caption"/>
    <w:basedOn w:val="Normal"/>
    <w:next w:val="BodyTextIndent"/>
    <w:pPr>
      <w:jc w:val="center"/>
    </w:pPr>
    <w:rPr>
      <w:rFonts w:ascii="Arial" w:hAnsi="Arial"/>
      <w:b/>
    </w:rPr>
  </w:style>
  <w:style w:type="paragraph" w:styleId="Footer">
    <w:name w:val="footer"/>
    <w:basedOn w:val="Normal"/>
    <w:next w:val="Header"/>
    <w:pPr>
      <w:tabs>
        <w:tab w:val="center" w:pos="5760"/>
        <w:tab w:val="right" w:pos="10800"/>
      </w:tabs>
    </w:pPr>
  </w:style>
  <w:style w:type="paragraph" w:styleId="Header">
    <w:name w:val="header"/>
    <w:basedOn w:val="Normal"/>
    <w:next w:val="Footer"/>
  </w:style>
  <w:style w:type="paragraph" w:styleId="FootnoteText">
    <w:name w:val="footnote text"/>
    <w:basedOn w:val="Normal"/>
    <w:semiHidden/>
    <w:pPr>
      <w:ind w:firstLine="360"/>
    </w:pPr>
    <w:rPr>
      <w:sz w:val="16"/>
    </w:rPr>
  </w:style>
  <w:style w:type="paragraph" w:customStyle="1" w:styleId="NomenclatureClauseTitle">
    <w:name w:val="Nomenclature Clause Title"/>
    <w:basedOn w:val="Normal"/>
    <w:next w:val="BodyTextIndent"/>
    <w:pPr>
      <w:keepNext/>
      <w:spacing w:before="240"/>
    </w:pPr>
    <w:rPr>
      <w:rFonts w:ascii="Arial" w:hAnsi="Arial"/>
      <w:b/>
      <w:caps/>
    </w:rPr>
  </w:style>
  <w:style w:type="paragraph" w:customStyle="1" w:styleId="ReferencesClauseTitle">
    <w:name w:val="References Clause Title"/>
    <w:basedOn w:val="Normal"/>
    <w:next w:val="BodyTextIndent"/>
    <w:pPr>
      <w:keepNext/>
      <w:spacing w:before="240"/>
    </w:pPr>
    <w:rPr>
      <w:rFonts w:ascii="Arial" w:hAnsi="Arial"/>
      <w:b/>
      <w:caps/>
    </w:rPr>
  </w:style>
  <w:style w:type="paragraph" w:customStyle="1" w:styleId="TableCaption">
    <w:name w:val="Table Caption"/>
    <w:basedOn w:val="Normal"/>
    <w:next w:val="BodyTextIndent"/>
    <w:pPr>
      <w:jc w:val="center"/>
    </w:pPr>
    <w:rPr>
      <w:rFonts w:ascii="Arial" w:hAnsi="Arial"/>
      <w:b/>
    </w:rPr>
  </w:style>
  <w:style w:type="paragraph" w:customStyle="1" w:styleId="TextHeading1">
    <w:name w:val="Text Heading 1"/>
    <w:basedOn w:val="Normal"/>
    <w:next w:val="BodyTextIndent"/>
    <w:pPr>
      <w:keepNext/>
      <w:spacing w:before="240"/>
    </w:pPr>
    <w:rPr>
      <w:rFonts w:ascii="Arial" w:hAnsi="Arial"/>
      <w:b/>
      <w:caps/>
    </w:rPr>
  </w:style>
  <w:style w:type="paragraph" w:customStyle="1" w:styleId="TextHeading2">
    <w:name w:val="Text Heading 2"/>
    <w:basedOn w:val="Normal"/>
    <w:next w:val="BodyTextIndent"/>
    <w:pPr>
      <w:keepNext/>
      <w:spacing w:before="240"/>
    </w:pPr>
    <w:rPr>
      <w:rFonts w:ascii="Arial" w:hAnsi="Arial"/>
      <w:b/>
      <w:u w:val="single"/>
    </w:rPr>
  </w:style>
  <w:style w:type="paragraph" w:customStyle="1" w:styleId="TextHeading3">
    <w:name w:val="Text Heading 3"/>
    <w:basedOn w:val="Normal"/>
    <w:next w:val="BodyTextIndent"/>
    <w:pPr>
      <w:spacing w:before="240"/>
      <w:ind w:left="360"/>
    </w:pPr>
    <w:rPr>
      <w:rFonts w:ascii="Arial" w:hAnsi="Arial"/>
      <w:b/>
      <w:u w:val="single"/>
    </w:rPr>
  </w:style>
  <w:style w:type="paragraph" w:styleId="Title">
    <w:name w:val="Title"/>
    <w:basedOn w:val="Normal"/>
    <w:qFormat/>
    <w:pPr>
      <w:spacing w:before="760"/>
      <w:jc w:val="center"/>
    </w:pPr>
    <w:rPr>
      <w:rFonts w:ascii="Arial" w:hAnsi="Arial"/>
      <w:b/>
      <w:caps/>
      <w:sz w:val="24"/>
    </w:rPr>
  </w:style>
  <w:style w:type="paragraph" w:styleId="PlainText">
    <w:name w:val="Plain Text"/>
    <w:basedOn w:val="Normal"/>
    <w:pPr>
      <w:suppressAutoHyphens w:val="0"/>
      <w:overflowPunct/>
      <w:autoSpaceDE/>
      <w:autoSpaceDN/>
      <w:adjustRightInd/>
      <w:jc w:val="left"/>
      <w:textAlignment w:val="auto"/>
    </w:pPr>
    <w:rPr>
      <w:rFonts w:ascii="Courier New" w:hAnsi="Courier New" w:cs="Courier New"/>
      <w:kern w:val="0"/>
    </w:rPr>
  </w:style>
  <w:style w:type="table" w:styleId="TableGrid">
    <w:name w:val="Table Grid"/>
    <w:basedOn w:val="TableNormal"/>
    <w:uiPriority w:val="59"/>
    <w:rsid w:val="00223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23661"/>
    <w:rPr>
      <w:rFonts w:ascii="Tahoma" w:hAnsi="Tahoma" w:cs="Tahoma"/>
      <w:sz w:val="16"/>
      <w:szCs w:val="16"/>
    </w:rPr>
  </w:style>
  <w:style w:type="character" w:customStyle="1" w:styleId="BalloonTextChar">
    <w:name w:val="Balloon Text Char"/>
    <w:basedOn w:val="DefaultParagraphFont"/>
    <w:link w:val="BalloonText"/>
    <w:rsid w:val="00223661"/>
    <w:rPr>
      <w:rFonts w:ascii="Tahoma" w:hAnsi="Tahoma" w:cs="Tahoma"/>
      <w:kern w:val="14"/>
      <w:sz w:val="16"/>
      <w:szCs w:val="16"/>
      <w:lang w:val="en-US" w:eastAsia="en-US"/>
    </w:rPr>
  </w:style>
  <w:style w:type="character" w:styleId="PlaceholderText">
    <w:name w:val="Placeholder Text"/>
    <w:basedOn w:val="DefaultParagraphFont"/>
    <w:uiPriority w:val="99"/>
    <w:semiHidden/>
    <w:rsid w:val="00D46FBC"/>
    <w:rPr>
      <w:color w:val="808080"/>
    </w:rPr>
  </w:style>
  <w:style w:type="paragraph" w:customStyle="1" w:styleId="EQNumbering">
    <w:name w:val="EQNumbering"/>
    <w:basedOn w:val="Normal"/>
    <w:link w:val="EQNumberingChar"/>
    <w:rsid w:val="00D46FBC"/>
    <w:pPr>
      <w:numPr>
        <w:numId w:val="1"/>
      </w:numPr>
      <w:suppressAutoHyphens w:val="0"/>
      <w:overflowPunct/>
      <w:autoSpaceDE/>
      <w:autoSpaceDN/>
      <w:adjustRightInd/>
      <w:spacing w:after="200" w:line="360" w:lineRule="auto"/>
      <w:ind w:left="357" w:hanging="357"/>
      <w:jc w:val="right"/>
      <w:textAlignment w:val="auto"/>
    </w:pPr>
    <w:rPr>
      <w:rFonts w:eastAsiaTheme="minorHAnsi" w:cstheme="minorBidi"/>
      <w:kern w:val="0"/>
      <w:sz w:val="24"/>
      <w:szCs w:val="22"/>
      <w:lang w:val="et-EE"/>
    </w:rPr>
  </w:style>
  <w:style w:type="character" w:customStyle="1" w:styleId="EQNumberingChar">
    <w:name w:val="EQNumbering Char"/>
    <w:basedOn w:val="DefaultParagraphFont"/>
    <w:link w:val="EQNumbering"/>
    <w:rsid w:val="00D46FBC"/>
    <w:rPr>
      <w:rFonts w:eastAsiaTheme="minorHAnsi" w:cstheme="minorBidi"/>
      <w:sz w:val="24"/>
      <w:szCs w:val="22"/>
      <w:lang w:eastAsia="en-US"/>
    </w:rPr>
  </w:style>
  <w:style w:type="character" w:customStyle="1" w:styleId="BodyTextIndentChar">
    <w:name w:val="Body Text Indent Char"/>
    <w:basedOn w:val="DefaultParagraphFont"/>
    <w:link w:val="BodyTextIndent"/>
    <w:rsid w:val="000F3898"/>
    <w:rPr>
      <w:kern w:val="14"/>
      <w:lang w:val="en-US" w:eastAsia="en-US"/>
    </w:rPr>
  </w:style>
  <w:style w:type="character" w:styleId="CommentReference">
    <w:name w:val="annotation reference"/>
    <w:basedOn w:val="DefaultParagraphFont"/>
    <w:rsid w:val="00993AA8"/>
    <w:rPr>
      <w:sz w:val="16"/>
      <w:szCs w:val="16"/>
    </w:rPr>
  </w:style>
  <w:style w:type="paragraph" w:styleId="CommentText">
    <w:name w:val="annotation text"/>
    <w:basedOn w:val="Normal"/>
    <w:link w:val="CommentTextChar"/>
    <w:rsid w:val="00993AA8"/>
  </w:style>
  <w:style w:type="character" w:customStyle="1" w:styleId="CommentTextChar">
    <w:name w:val="Comment Text Char"/>
    <w:basedOn w:val="DefaultParagraphFont"/>
    <w:link w:val="CommentText"/>
    <w:rsid w:val="00993AA8"/>
    <w:rPr>
      <w:kern w:val="14"/>
      <w:lang w:val="en-US" w:eastAsia="en-US"/>
    </w:rPr>
  </w:style>
  <w:style w:type="paragraph" w:styleId="CommentSubject">
    <w:name w:val="annotation subject"/>
    <w:basedOn w:val="CommentText"/>
    <w:next w:val="CommentText"/>
    <w:link w:val="CommentSubjectChar"/>
    <w:rsid w:val="00993AA8"/>
    <w:rPr>
      <w:b/>
      <w:bCs/>
    </w:rPr>
  </w:style>
  <w:style w:type="character" w:customStyle="1" w:styleId="CommentSubjectChar">
    <w:name w:val="Comment Subject Char"/>
    <w:basedOn w:val="CommentTextChar"/>
    <w:link w:val="CommentSubject"/>
    <w:rsid w:val="00993AA8"/>
    <w:rPr>
      <w:b/>
      <w:bCs/>
      <w:kern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iff"/><Relationship Id="rId18" Type="http://schemas.openxmlformats.org/officeDocument/2006/relationships/image" Target="media/image9.t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image" Target="media/image8.tiff"/><Relationship Id="rId2" Type="http://schemas.openxmlformats.org/officeDocument/2006/relationships/styles" Target="styles.xml"/><Relationship Id="rId16" Type="http://schemas.openxmlformats.org/officeDocument/2006/relationships/image" Target="media/image7.t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image" Target="media/image6.tif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AS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ASME.dot</Template>
  <TotalTime>492</TotalTime>
  <Pages>5</Pages>
  <Words>2266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Proceedings of</vt:lpstr>
    </vt:vector>
  </TitlesOfParts>
  <Company>UT</Company>
  <LinksUpToDate>false</LinksUpToDate>
  <CharactersWithSpaces>15385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dc:title>
  <dc:creator>Howard Kaikow</dc:creator>
  <cp:lastModifiedBy>Veiko</cp:lastModifiedBy>
  <cp:revision>5</cp:revision>
  <cp:lastPrinted>1601-01-01T00:00:00Z</cp:lastPrinted>
  <dcterms:created xsi:type="dcterms:W3CDTF">2012-05-22T06:07:00Z</dcterms:created>
  <dcterms:modified xsi:type="dcterms:W3CDTF">2012-05-22T14:28:00Z</dcterms:modified>
</cp:coreProperties>
</file>