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46" w:rsidRPr="00201D46" w:rsidRDefault="00201D46">
      <w:pPr>
        <w:rPr>
          <w:b/>
          <w:lang w:val="en-US"/>
        </w:rPr>
      </w:pPr>
      <w:r>
        <w:rPr>
          <w:b/>
          <w:lang w:val="en-US"/>
        </w:rPr>
        <w:t>Abstract</w:t>
      </w:r>
    </w:p>
    <w:p w:rsidR="008B5633" w:rsidRDefault="006061D1">
      <w:pPr>
        <w:rPr>
          <w:lang w:val="en-US"/>
        </w:rPr>
      </w:pPr>
      <w:proofErr w:type="gramStart"/>
      <w:r w:rsidRPr="006061D1">
        <w:rPr>
          <w:lang w:val="en-US"/>
        </w:rPr>
        <w:t xml:space="preserve">Back-relaxation of carbon-based ionic </w:t>
      </w:r>
      <w:proofErr w:type="spellStart"/>
      <w:r w:rsidRPr="006061D1">
        <w:rPr>
          <w:lang w:val="en-US"/>
        </w:rPr>
        <w:t>electroactive</w:t>
      </w:r>
      <w:proofErr w:type="spellEnd"/>
      <w:r w:rsidRPr="006061D1">
        <w:rPr>
          <w:lang w:val="en-US"/>
        </w:rPr>
        <w:t xml:space="preserve"> polymer actuators.</w:t>
      </w:r>
      <w:proofErr w:type="gramEnd"/>
    </w:p>
    <w:p w:rsidR="006061D1" w:rsidRPr="006061D1" w:rsidRDefault="006061D1" w:rsidP="006061D1">
      <w:pPr>
        <w:rPr>
          <w:lang w:val="en-US"/>
        </w:rPr>
      </w:pPr>
      <w:proofErr w:type="gramStart"/>
      <w:r w:rsidRPr="006061D1">
        <w:rPr>
          <w:lang w:val="en-US"/>
        </w:rPr>
        <w:t>Ionic electromechanically active polymers (IEAP) is</w:t>
      </w:r>
      <w:proofErr w:type="gramEnd"/>
      <w:r w:rsidRPr="006061D1">
        <w:rPr>
          <w:lang w:val="en-US"/>
        </w:rPr>
        <w:t xml:space="preserve"> one of two main classes of </w:t>
      </w:r>
      <w:proofErr w:type="spellStart"/>
      <w:r w:rsidRPr="006061D1">
        <w:rPr>
          <w:lang w:val="en-US"/>
        </w:rPr>
        <w:t>electroactive</w:t>
      </w:r>
      <w:proofErr w:type="spellEnd"/>
      <w:r w:rsidRPr="006061D1">
        <w:rPr>
          <w:lang w:val="en-US"/>
        </w:rPr>
        <w:t xml:space="preserve"> materials, where actuation is primarily caused by the displacement of ions inside the laminate. Perhaps the first and most distinguished IEAP is ionic polymer-metal composite (IPMC). In recent years the range of IEAP materials has been significantly extended by means of materials used for electrodes (e.g. </w:t>
      </w:r>
      <w:proofErr w:type="spellStart"/>
      <w:r w:rsidRPr="006061D1">
        <w:rPr>
          <w:lang w:val="en-US"/>
        </w:rPr>
        <w:t>nanoporous</w:t>
      </w:r>
      <w:proofErr w:type="spellEnd"/>
      <w:r w:rsidRPr="006061D1">
        <w:rPr>
          <w:lang w:val="en-US"/>
        </w:rPr>
        <w:t xml:space="preserve"> carbon, carbon nanotubes, etc.), separator membrane, as well as the electrolyte (e.g. ionic liquid). At first glance, all IEAPs seem similar in construction and bending behavior – but their actuation mechanisms can be significantly different.</w:t>
      </w:r>
    </w:p>
    <w:p w:rsidR="006061D1" w:rsidRPr="006061D1" w:rsidRDefault="006061D1" w:rsidP="006061D1">
      <w:pPr>
        <w:rPr>
          <w:lang w:val="en-US"/>
        </w:rPr>
      </w:pPr>
      <w:r w:rsidRPr="006061D1">
        <w:rPr>
          <w:lang w:val="en-US"/>
        </w:rPr>
        <w:t xml:space="preserve">Already since the very first reports about IPMC, the authors have described the „back-relaxation“ effect – an IPMC actuator excited with a DC input will slowly relax back towards its initial state. This effect appears clearly in slow driving signals and </w:t>
      </w:r>
      <w:proofErr w:type="gramStart"/>
      <w:r w:rsidRPr="006061D1">
        <w:rPr>
          <w:lang w:val="en-US"/>
        </w:rPr>
        <w:t>interferes</w:t>
      </w:r>
      <w:proofErr w:type="gramEnd"/>
      <w:r w:rsidRPr="006061D1">
        <w:rPr>
          <w:lang w:val="en-US"/>
        </w:rPr>
        <w:t xml:space="preserve"> the exact control of the actuators. Although one prevalent theory explains the effect with flow of the water molecules across the ion-exchange membrane, the dispute over the physical mechanism of back- relaxation of IPMC still continues.</w:t>
      </w:r>
    </w:p>
    <w:p w:rsidR="006061D1" w:rsidRPr="006061D1" w:rsidRDefault="006061D1" w:rsidP="006061D1">
      <w:pPr>
        <w:rPr>
          <w:lang w:val="en-US"/>
        </w:rPr>
      </w:pPr>
      <w:r w:rsidRPr="006061D1">
        <w:rPr>
          <w:lang w:val="en-US"/>
        </w:rPr>
        <w:t xml:space="preserve">We demonstrate that regardless of the absence of the fluent liquid, the IEAP actuators with electrodes made of carbon exhibit similar back-relaxation. It appears that the long-term behavior of carbon-based actuators and water-based IPMC is similar by means of their </w:t>
      </w:r>
      <w:proofErr w:type="spellStart"/>
      <w:r w:rsidRPr="006061D1">
        <w:rPr>
          <w:lang w:val="en-US"/>
        </w:rPr>
        <w:t>nonuniform</w:t>
      </w:r>
      <w:proofErr w:type="spellEnd"/>
      <w:r w:rsidRPr="006061D1">
        <w:rPr>
          <w:lang w:val="en-US"/>
        </w:rPr>
        <w:t xml:space="preserve"> transient spatial actuation, and </w:t>
      </w:r>
      <w:proofErr w:type="spellStart"/>
      <w:r w:rsidRPr="006061D1">
        <w:rPr>
          <w:lang w:val="en-US"/>
        </w:rPr>
        <w:t>nonuniform</w:t>
      </w:r>
      <w:proofErr w:type="spellEnd"/>
      <w:r w:rsidRPr="006061D1">
        <w:rPr>
          <w:lang w:val="en-US"/>
        </w:rPr>
        <w:t xml:space="preserve"> transient moment of force. Although the physical mechanisms of the actuation and back-relaxation of the different materials may be different, the resulting model describes all of them and supposedly facilitates the long-term control of the actuators.</w:t>
      </w:r>
    </w:p>
    <w:p w:rsidR="006061D1" w:rsidRDefault="006061D1"/>
    <w:p w:rsidR="006061D1" w:rsidRDefault="006061D1"/>
    <w:p w:rsidR="006061D1" w:rsidRDefault="006061D1">
      <w:pPr>
        <w:rPr>
          <w:b/>
        </w:rPr>
      </w:pPr>
      <w:r>
        <w:rPr>
          <w:b/>
        </w:rPr>
        <w:t xml:space="preserve">1. </w:t>
      </w:r>
      <w:proofErr w:type="spellStart"/>
      <w:r>
        <w:rPr>
          <w:b/>
        </w:rPr>
        <w:t>Introduction</w:t>
      </w:r>
      <w:proofErr w:type="spellEnd"/>
    </w:p>
    <w:p w:rsidR="006061D1" w:rsidRDefault="006061D1">
      <w:proofErr w:type="gramStart"/>
      <w:r w:rsidRPr="006061D1">
        <w:rPr>
          <w:lang w:val="en-US"/>
        </w:rPr>
        <w:t>Ionic electromechanically active polymers (IEAP) is</w:t>
      </w:r>
      <w:proofErr w:type="gramEnd"/>
      <w:r w:rsidRPr="006061D1">
        <w:rPr>
          <w:lang w:val="en-US"/>
        </w:rPr>
        <w:t xml:space="preserve"> one of two main classes of </w:t>
      </w:r>
      <w:proofErr w:type="spellStart"/>
      <w:r w:rsidRPr="006061D1">
        <w:rPr>
          <w:lang w:val="en-US"/>
        </w:rPr>
        <w:t>electroactive</w:t>
      </w:r>
      <w:proofErr w:type="spellEnd"/>
      <w:r w:rsidRPr="006061D1">
        <w:rPr>
          <w:lang w:val="en-US"/>
        </w:rPr>
        <w:t xml:space="preserve"> materials, where actuation is primarily caused by the displacement of ions inside the laminate. Perhaps the first and most distinguished IEAP is ionic polymer-metal composite (IPMC). In recent years the range of IEAP materials has been significantly extended by means of materials used for electrodes (e.g. </w:t>
      </w:r>
      <w:proofErr w:type="spellStart"/>
      <w:r w:rsidRPr="006061D1">
        <w:rPr>
          <w:lang w:val="en-US"/>
        </w:rPr>
        <w:t>nanoporous</w:t>
      </w:r>
      <w:proofErr w:type="spellEnd"/>
      <w:r w:rsidRPr="006061D1">
        <w:rPr>
          <w:lang w:val="en-US"/>
        </w:rPr>
        <w:t xml:space="preserve"> carbon, carbon nanotubes, etc.), separator membrane, as well as the electrolyte (e.g. ionic liquid). At first glance, all IEAPs seem similar in construction and bending behavior – but their actuation mechanisms can be significantly different.</w:t>
      </w:r>
    </w:p>
    <w:p w:rsidR="006061D1" w:rsidRDefault="006061D1">
      <w:pPr>
        <w:rPr>
          <w:lang w:val="en-US"/>
        </w:rPr>
      </w:pPr>
      <w:r w:rsidRPr="006061D1">
        <w:rPr>
          <w:lang w:val="en-US"/>
        </w:rPr>
        <w:t xml:space="preserve">Already since the very first reports about IPMC, the authors have described the „back-relaxation“ effect – an IPMC actuator excited with a DC input will slowly relax back towards its initial state. This effect appears clearly in slow driving signals and </w:t>
      </w:r>
      <w:proofErr w:type="gramStart"/>
      <w:r w:rsidRPr="006061D1">
        <w:rPr>
          <w:lang w:val="en-US"/>
        </w:rPr>
        <w:t>interferes</w:t>
      </w:r>
      <w:proofErr w:type="gramEnd"/>
      <w:r w:rsidRPr="006061D1">
        <w:rPr>
          <w:lang w:val="en-US"/>
        </w:rPr>
        <w:t xml:space="preserve"> the exact control of the actuators. Although one prevalent theory explains the effect with flow of the water molecules across the ion-exchange membrane, the dispute over the physical mechanism of back- relaxation of IPMC still continues.</w:t>
      </w:r>
    </w:p>
    <w:p w:rsidR="006061D1" w:rsidRDefault="006061D1">
      <w:pPr>
        <w:rPr>
          <w:lang w:val="en-US"/>
        </w:rPr>
      </w:pPr>
      <w:r w:rsidRPr="006061D1">
        <w:rPr>
          <w:lang w:val="en-US"/>
        </w:rPr>
        <w:lastRenderedPageBreak/>
        <w:t>The objective of the current paper is</w:t>
      </w:r>
      <w:r>
        <w:rPr>
          <w:lang w:val="en-US"/>
        </w:rPr>
        <w:t xml:space="preserve"> comparison of back-relaxation of three different types of</w:t>
      </w:r>
      <w:r w:rsidR="00E02F9C">
        <w:rPr>
          <w:lang w:val="en-US"/>
        </w:rPr>
        <w:t xml:space="preserve"> IEAP actuators.</w:t>
      </w:r>
    </w:p>
    <w:p w:rsidR="00AA7433" w:rsidRDefault="00AA7433">
      <w:pPr>
        <w:rPr>
          <w:b/>
          <w:lang w:val="en-US"/>
        </w:rPr>
      </w:pPr>
      <w:proofErr w:type="spellStart"/>
      <w:r>
        <w:rPr>
          <w:b/>
          <w:lang w:val="en-US"/>
        </w:rPr>
        <w:t>Vektor</w:t>
      </w:r>
      <w:proofErr w:type="spellEnd"/>
      <w:r>
        <w:rPr>
          <w:b/>
          <w:lang w:val="en-US"/>
        </w:rPr>
        <w:t xml:space="preserve"> </w:t>
      </w:r>
      <w:proofErr w:type="spellStart"/>
      <w:r>
        <w:rPr>
          <w:b/>
          <w:lang w:val="en-US"/>
        </w:rPr>
        <w:t>esitus</w:t>
      </w:r>
      <w:proofErr w:type="spellEnd"/>
      <w:r>
        <w:rPr>
          <w:b/>
          <w:lang w:val="en-US"/>
        </w:rPr>
        <w:t>…</w:t>
      </w:r>
    </w:p>
    <w:p w:rsidR="00481B82" w:rsidRPr="00481B82" w:rsidRDefault="00481B82">
      <w:pPr>
        <w:rPr>
          <w:lang w:val="en-US"/>
        </w:rPr>
      </w:pPr>
    </w:p>
    <w:p w:rsidR="00481B82" w:rsidRDefault="00481B82">
      <w:pPr>
        <w:rPr>
          <w:b/>
          <w:lang w:val="en-US"/>
        </w:rPr>
      </w:pPr>
      <w:proofErr w:type="spellStart"/>
      <w:r w:rsidRPr="00481B82">
        <w:rPr>
          <w:b/>
          <w:lang w:val="en-US"/>
        </w:rPr>
        <w:t>Momendid</w:t>
      </w:r>
      <w:proofErr w:type="spellEnd"/>
    </w:p>
    <w:p w:rsidR="00F66F4B" w:rsidRPr="00F66F4B" w:rsidRDefault="00060C9E" w:rsidP="00F66F4B">
      <w:pPr>
        <w:rPr>
          <w:lang w:val="en-US"/>
        </w:rPr>
      </w:pPr>
      <w:r>
        <w:rPr>
          <w:lang w:val="en-US"/>
        </w:rPr>
        <w:t>For characterization of the force or curvature output of the actuator, one needs to have an overview of bending moment distribution of the beam</w:t>
      </w:r>
      <w:r w:rsidR="00C73797">
        <w:rPr>
          <w:lang w:val="en-US"/>
        </w:rPr>
        <w:t>. Obviously</w:t>
      </w:r>
      <w:r w:rsidR="009D53ED">
        <w:rPr>
          <w:lang w:val="en-US"/>
        </w:rPr>
        <w:t>,</w:t>
      </w:r>
      <w:r w:rsidR="00C73797">
        <w:rPr>
          <w:lang w:val="en-US"/>
        </w:rPr>
        <w:t xml:space="preserve"> the bending moments and also the </w:t>
      </w:r>
      <w:r w:rsidR="00291E4E">
        <w:rPr>
          <w:lang w:val="en-US"/>
        </w:rPr>
        <w:t>curvature</w:t>
      </w:r>
      <w:r w:rsidR="009D53ED">
        <w:rPr>
          <w:lang w:val="en-US"/>
        </w:rPr>
        <w:t>s</w:t>
      </w:r>
      <w:r w:rsidR="00291E4E">
        <w:rPr>
          <w:lang w:val="en-US"/>
        </w:rPr>
        <w:t xml:space="preserve"> are</w:t>
      </w:r>
      <w:r w:rsidR="001F16F5">
        <w:rPr>
          <w:lang w:val="en-US"/>
        </w:rPr>
        <w:t xml:space="preserve"> largely affected by the configuration of an actuator</w:t>
      </w:r>
      <w:r>
        <w:rPr>
          <w:lang w:val="en-US"/>
        </w:rPr>
        <w:t xml:space="preserve">. </w:t>
      </w:r>
      <w:r w:rsidR="00291E4E">
        <w:rPr>
          <w:lang w:val="en-US"/>
        </w:rPr>
        <w:t>In this paper</w:t>
      </w:r>
      <w:r w:rsidR="009D53ED">
        <w:rPr>
          <w:lang w:val="en-US"/>
        </w:rPr>
        <w:t>,</w:t>
      </w:r>
      <w:r w:rsidR="00291E4E">
        <w:rPr>
          <w:lang w:val="en-US"/>
        </w:rPr>
        <w:t xml:space="preserve"> we place the actuator in cantilever configuration and derive the bending moments directly from curvature according to the </w:t>
      </w:r>
      <w:r w:rsidR="00F66F4B" w:rsidRPr="00F66F4B">
        <w:rPr>
          <w:lang w:val="en-US"/>
        </w:rPr>
        <w:t>Euler-Bernoulli law</w:t>
      </w:r>
      <w:r w:rsidR="00291E4E">
        <w:rPr>
          <w:lang w:val="en-US"/>
        </w:rPr>
        <w:t>:</w:t>
      </w:r>
      <w:bookmarkStart w:id="0" w:name="_GoBack"/>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F66F4B" w:rsidRPr="00F66F4B" w:rsidTr="007078AF">
        <w:tc>
          <w:tcPr>
            <w:tcW w:w="250" w:type="pct"/>
            <w:vAlign w:val="center"/>
          </w:tcPr>
          <w:p w:rsidR="00F66F4B" w:rsidRPr="00F66F4B" w:rsidRDefault="00F66F4B" w:rsidP="00F66F4B">
            <w:pPr>
              <w:spacing w:after="200" w:line="276" w:lineRule="auto"/>
              <w:rPr>
                <w:lang w:val="en-US"/>
              </w:rPr>
            </w:pPr>
          </w:p>
        </w:tc>
        <w:tc>
          <w:tcPr>
            <w:tcW w:w="4500" w:type="pct"/>
            <w:vAlign w:val="center"/>
          </w:tcPr>
          <w:p w:rsidR="00F66F4B" w:rsidRPr="00F66F4B" w:rsidRDefault="00F66F4B" w:rsidP="00F66F4B">
            <w:pPr>
              <w:spacing w:line="276" w:lineRule="auto"/>
            </w:pPr>
            <m:oMathPara>
              <m:oMath>
                <m:f>
                  <m:fPr>
                    <m:ctrlPr>
                      <w:rPr>
                        <w:rFonts w:ascii="Cambria Math" w:hAnsi="Cambria Math"/>
                        <w:i/>
                        <w:lang w:val="en-US"/>
                      </w:rPr>
                    </m:ctrlPr>
                  </m:fPr>
                  <m:num>
                    <m:r>
                      <w:rPr>
                        <w:rFonts w:ascii="Cambria Math" w:hAnsi="Cambria Math"/>
                        <w:lang w:val="en-US"/>
                      </w:rPr>
                      <m:t>dφ</m:t>
                    </m:r>
                  </m:num>
                  <m:den>
                    <m:r>
                      <w:rPr>
                        <w:rFonts w:ascii="Cambria Math" w:hAnsi="Cambria Math"/>
                        <w:lang w:val="en-US"/>
                      </w:rPr>
                      <m:t>ds</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M(s)</m:t>
                    </m:r>
                  </m:num>
                  <m:den>
                    <m:r>
                      <w:rPr>
                        <w:rFonts w:ascii="Cambria Math" w:hAnsi="Cambria Math"/>
                        <w:lang w:val="en-US"/>
                      </w:rPr>
                      <m:t>EI</m:t>
                    </m:r>
                  </m:den>
                </m:f>
                <m:r>
                  <w:rPr>
                    <w:rFonts w:ascii="Cambria Math" w:hAnsi="Cambria Math"/>
                    <w:lang w:val="en-GB"/>
                  </w:rPr>
                  <m:t>,</m:t>
                </m:r>
              </m:oMath>
            </m:oMathPara>
          </w:p>
        </w:tc>
        <w:tc>
          <w:tcPr>
            <w:tcW w:w="250" w:type="pct"/>
            <w:vAlign w:val="center"/>
          </w:tcPr>
          <w:p w:rsidR="00F66F4B" w:rsidRPr="00F66F4B" w:rsidRDefault="00F66F4B" w:rsidP="00F66F4B">
            <w:pPr>
              <w:spacing w:after="200" w:line="276" w:lineRule="auto"/>
            </w:pPr>
          </w:p>
        </w:tc>
      </w:tr>
    </w:tbl>
    <w:p w:rsidR="00F66F4B" w:rsidRPr="00F66F4B" w:rsidRDefault="00F66F4B" w:rsidP="00F66F4B">
      <w:pPr>
        <w:rPr>
          <w:lang w:val="en-US"/>
        </w:rPr>
      </w:pPr>
      <w:proofErr w:type="gramStart"/>
      <w:r w:rsidRPr="00F66F4B">
        <w:rPr>
          <w:lang w:val="en-US"/>
        </w:rPr>
        <w:t>where</w:t>
      </w:r>
      <w:proofErr w:type="gramEnd"/>
      <w:r w:rsidRPr="00F66F4B">
        <w:rPr>
          <w:lang w:val="en-US"/>
        </w:rPr>
        <w:t xml:space="preserve"> </w:t>
      </w:r>
      <m:oMath>
        <m:r>
          <w:rPr>
            <w:rFonts w:ascii="Cambria Math" w:hAnsi="Cambria Math"/>
            <w:lang w:val="en-US"/>
          </w:rPr>
          <m:t>E</m:t>
        </m:r>
      </m:oMath>
      <w:r w:rsidRPr="00F66F4B">
        <w:rPr>
          <w:lang w:val="en-US"/>
        </w:rPr>
        <w:t xml:space="preserve"> is the modulus of elasticity and </w:t>
      </w:r>
      <m:oMath>
        <m:r>
          <w:rPr>
            <w:rFonts w:ascii="Cambria Math" w:hAnsi="Cambria Math"/>
            <w:lang w:val="en-US"/>
          </w:rPr>
          <m:t>I</m:t>
        </m:r>
      </m:oMath>
      <w:r w:rsidRPr="00F66F4B">
        <w:rPr>
          <w:lang w:val="en-US"/>
        </w:rPr>
        <w:t xml:space="preserve"> is the second moment of area.</w:t>
      </w:r>
      <w:r w:rsidR="00060C9E">
        <w:rPr>
          <w:lang w:val="en-US"/>
        </w:rPr>
        <w:t xml:space="preserve"> </w:t>
      </w:r>
      <w:r>
        <w:rPr>
          <w:lang w:val="en-US"/>
        </w:rPr>
        <w:t xml:space="preserve">For rectangular </w:t>
      </w:r>
      <w:r w:rsidRPr="00F66F4B">
        <w:rPr>
          <w:lang w:val="en-US"/>
        </w:rPr>
        <w:t>cross-section</w:t>
      </w:r>
      <w:r>
        <w:rPr>
          <w:lang w:val="en-US"/>
        </w:rPr>
        <w:t xml:space="preserve">, the </w:t>
      </w:r>
      <w:r w:rsidRPr="00F66F4B">
        <w:rPr>
          <w:lang w:val="en-US"/>
        </w:rPr>
        <w:t>second moment of area is expressed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
        <w:gridCol w:w="8165"/>
        <w:gridCol w:w="454"/>
      </w:tblGrid>
      <w:tr w:rsidR="00F66F4B" w:rsidRPr="00F66F4B" w:rsidTr="007078AF">
        <w:tc>
          <w:tcPr>
            <w:tcW w:w="250" w:type="pct"/>
            <w:vAlign w:val="center"/>
          </w:tcPr>
          <w:p w:rsidR="00F66F4B" w:rsidRPr="00F66F4B" w:rsidRDefault="00F66F4B" w:rsidP="00F66F4B">
            <w:pPr>
              <w:spacing w:after="200" w:line="276" w:lineRule="auto"/>
              <w:rPr>
                <w:lang w:val="en-US"/>
              </w:rPr>
            </w:pPr>
          </w:p>
        </w:tc>
        <w:tc>
          <w:tcPr>
            <w:tcW w:w="4500" w:type="pct"/>
            <w:vAlign w:val="center"/>
          </w:tcPr>
          <w:p w:rsidR="00F66F4B" w:rsidRPr="00F66F4B" w:rsidRDefault="00F66F4B" w:rsidP="00F66F4B">
            <w:pPr>
              <w:spacing w:line="276" w:lineRule="auto"/>
            </w:pPr>
            <m:oMathPara>
              <m:oMath>
                <m:r>
                  <w:rPr>
                    <w:rFonts w:ascii="Cambria Math" w:hAnsi="Cambria Math"/>
                    <w:lang w:val="en-US"/>
                  </w:rPr>
                  <m:t>I=</m:t>
                </m:r>
                <m:f>
                  <m:fPr>
                    <m:type m:val="lin"/>
                    <m:ctrlPr>
                      <w:rPr>
                        <w:rFonts w:ascii="Cambria Math" w:hAnsi="Cambria Math"/>
                        <w:i/>
                        <w:lang w:val="en-US"/>
                      </w:rPr>
                    </m:ctrlPr>
                  </m:fPr>
                  <m:num>
                    <m:r>
                      <w:rPr>
                        <w:rFonts w:ascii="Cambria Math" w:hAnsi="Cambria Math"/>
                        <w:lang w:val="en-US"/>
                      </w:rPr>
                      <m:t>b</m:t>
                    </m:r>
                    <m:sSup>
                      <m:sSupPr>
                        <m:ctrlPr>
                          <w:rPr>
                            <w:rFonts w:ascii="Cambria Math" w:hAnsi="Cambria Math"/>
                            <w:i/>
                            <w:lang w:val="en-US"/>
                          </w:rPr>
                        </m:ctrlPr>
                      </m:sSupPr>
                      <m:e>
                        <m:r>
                          <w:rPr>
                            <w:rFonts w:ascii="Cambria Math" w:hAnsi="Cambria Math"/>
                            <w:lang w:val="en-US"/>
                          </w:rPr>
                          <m:t>h</m:t>
                        </m:r>
                      </m:e>
                      <m:sup>
                        <m:r>
                          <w:rPr>
                            <w:rFonts w:ascii="Cambria Math" w:hAnsi="Cambria Math"/>
                            <w:lang w:val="en-US"/>
                          </w:rPr>
                          <m:t>3</m:t>
                        </m:r>
                      </m:sup>
                    </m:sSup>
                  </m:num>
                  <m:den>
                    <m:r>
                      <w:rPr>
                        <w:rFonts w:ascii="Cambria Math" w:hAnsi="Cambria Math"/>
                        <w:lang w:val="en-US"/>
                      </w:rPr>
                      <m:t>12</m:t>
                    </m:r>
                  </m:den>
                </m:f>
                <m:r>
                  <w:rPr>
                    <w:rFonts w:ascii="Cambria Math" w:hAnsi="Cambria Math"/>
                    <w:lang w:val="en-US"/>
                  </w:rPr>
                  <m:t>,</m:t>
                </m:r>
              </m:oMath>
            </m:oMathPara>
          </w:p>
        </w:tc>
        <w:tc>
          <w:tcPr>
            <w:tcW w:w="250" w:type="pct"/>
            <w:vAlign w:val="center"/>
          </w:tcPr>
          <w:p w:rsidR="00F66F4B" w:rsidRPr="00F66F4B" w:rsidRDefault="00F66F4B" w:rsidP="00F66F4B">
            <w:pPr>
              <w:spacing w:after="200" w:line="276" w:lineRule="auto"/>
            </w:pPr>
          </w:p>
        </w:tc>
      </w:tr>
    </w:tbl>
    <w:p w:rsidR="00F66F4B" w:rsidRDefault="00F66F4B" w:rsidP="00F66F4B">
      <w:pPr>
        <w:rPr>
          <w:lang w:val="en-US"/>
        </w:rPr>
      </w:pPr>
      <w:proofErr w:type="gramStart"/>
      <w:r w:rsidRPr="00F66F4B">
        <w:rPr>
          <w:lang w:val="en-US"/>
        </w:rPr>
        <w:t>where</w:t>
      </w:r>
      <w:proofErr w:type="gramEnd"/>
      <w:r w:rsidRPr="00F66F4B">
        <w:rPr>
          <w:lang w:val="en-US"/>
        </w:rPr>
        <w:t xml:space="preserve"> </w:t>
      </w:r>
      <m:oMath>
        <m:r>
          <w:rPr>
            <w:rFonts w:ascii="Cambria Math" w:hAnsi="Cambria Math"/>
            <w:lang w:val="en-US"/>
          </w:rPr>
          <m:t>b</m:t>
        </m:r>
      </m:oMath>
      <w:r w:rsidRPr="00F66F4B">
        <w:rPr>
          <w:lang w:val="en-US"/>
        </w:rPr>
        <w:t xml:space="preserve"> and </w:t>
      </w:r>
      <m:oMath>
        <m:r>
          <w:rPr>
            <w:rFonts w:ascii="Cambria Math" w:hAnsi="Cambria Math"/>
            <w:lang w:val="en-US"/>
          </w:rPr>
          <m:t>h</m:t>
        </m:r>
      </m:oMath>
      <w:r w:rsidRPr="00F66F4B">
        <w:rPr>
          <w:lang w:val="en-US"/>
        </w:rPr>
        <w:t xml:space="preserve"> are width and height of the cross-section of the sample respectively. </w:t>
      </w:r>
    </w:p>
    <w:p w:rsidR="00291E4E" w:rsidRPr="00F66F4B" w:rsidRDefault="00291E4E" w:rsidP="00291E4E">
      <w:pPr>
        <w:rPr>
          <w:lang w:val="en-US"/>
        </w:rPr>
      </w:pPr>
      <w:r>
        <w:rPr>
          <w:lang w:val="en-US"/>
        </w:rPr>
        <w:t xml:space="preserve">It </w:t>
      </w:r>
      <w:r w:rsidRPr="00291E4E">
        <w:rPr>
          <w:lang w:val="en-US"/>
        </w:rPr>
        <w:t>must be noted that in</w:t>
      </w:r>
      <w:r w:rsidR="009D53ED">
        <w:rPr>
          <w:lang w:val="en-US"/>
        </w:rPr>
        <w:t xml:space="preserve"> the scope of</w:t>
      </w:r>
      <w:r w:rsidRPr="00291E4E">
        <w:rPr>
          <w:lang w:val="en-US"/>
        </w:rPr>
        <w:t xml:space="preserve"> current paper the inertia and mass of the actuator are </w:t>
      </w:r>
      <w:r>
        <w:rPr>
          <w:lang w:val="en-US"/>
        </w:rPr>
        <w:t>ignored</w:t>
      </w:r>
      <w:r w:rsidRPr="00291E4E">
        <w:rPr>
          <w:lang w:val="en-US"/>
        </w:rPr>
        <w:t xml:space="preserve"> and we treat each time step as an independent static problem. </w:t>
      </w:r>
      <w:r>
        <w:rPr>
          <w:lang w:val="en-US"/>
        </w:rPr>
        <w:t>The weight of the actuator is neglected by holding the actuator edgewise</w:t>
      </w:r>
    </w:p>
    <w:p w:rsidR="00F66F4B" w:rsidRPr="00F66F4B" w:rsidRDefault="00F66F4B" w:rsidP="00F66F4B">
      <w:pPr>
        <w:rPr>
          <w:lang w:val="en-US"/>
        </w:rPr>
      </w:pPr>
      <w:r w:rsidRPr="00F66F4B">
        <w:rPr>
          <w:lang w:val="en-US"/>
        </w:rPr>
        <w:t xml:space="preserve">The described methodic does not pose any restrictions to the shape of the actuator, it works as well when the second moment of inertia is not constant along the sample e.g. the sample is tapered, or its cross-section differs from rectangular. </w:t>
      </w:r>
      <w:proofErr w:type="gramStart"/>
      <w:r w:rsidRPr="00F66F4B">
        <w:rPr>
          <w:lang w:val="en-US"/>
        </w:rPr>
        <w:t>In our case the summarized bending moment of the time-dependent behavior of the sample presented in Fig. 1.</w:t>
      </w:r>
      <w:proofErr w:type="gramEnd"/>
      <w:r w:rsidRPr="00F66F4B">
        <w:rPr>
          <w:lang w:val="en-US"/>
        </w:rPr>
        <w:t xml:space="preserve"> </w:t>
      </w:r>
      <w:proofErr w:type="gramStart"/>
      <w:r w:rsidRPr="00F66F4B">
        <w:rPr>
          <w:lang w:val="en-US"/>
        </w:rPr>
        <w:t>reflects</w:t>
      </w:r>
      <w:proofErr w:type="gramEnd"/>
      <w:r w:rsidRPr="00F66F4B">
        <w:rPr>
          <w:lang w:val="en-US"/>
        </w:rPr>
        <w:t xml:space="preserve"> exactly its bending depicted in Fig. 6., yet in a different vertical scale.</w:t>
      </w:r>
    </w:p>
    <w:p w:rsidR="00F66F4B" w:rsidRPr="00F66F4B" w:rsidRDefault="00F66F4B">
      <w:pPr>
        <w:rPr>
          <w:lang w:val="en-US"/>
        </w:rPr>
      </w:pPr>
    </w:p>
    <w:p w:rsidR="009D5F00" w:rsidRDefault="004E695A">
      <w:pPr>
        <w:rPr>
          <w:b/>
          <w:lang w:val="en-US"/>
        </w:rPr>
      </w:pPr>
      <w:proofErr w:type="spellStart"/>
      <w:proofErr w:type="gramStart"/>
      <w:r>
        <w:rPr>
          <w:b/>
          <w:lang w:val="en-US"/>
        </w:rPr>
        <w:t>Nurkade</w:t>
      </w:r>
      <w:proofErr w:type="spellEnd"/>
      <w:r>
        <w:rPr>
          <w:b/>
          <w:lang w:val="en-US"/>
        </w:rPr>
        <w:t xml:space="preserve"> </w:t>
      </w:r>
      <w:proofErr w:type="spellStart"/>
      <w:r>
        <w:rPr>
          <w:b/>
          <w:lang w:val="en-US"/>
        </w:rPr>
        <w:t>leidmis</w:t>
      </w:r>
      <w:r w:rsidR="009D5F00">
        <w:rPr>
          <w:b/>
          <w:lang w:val="en-US"/>
        </w:rPr>
        <w:t>e</w:t>
      </w:r>
      <w:proofErr w:type="spellEnd"/>
      <w:r>
        <w:rPr>
          <w:b/>
          <w:lang w:val="en-US"/>
        </w:rPr>
        <w:t xml:space="preserve"> </w:t>
      </w:r>
      <w:proofErr w:type="spellStart"/>
      <w:r>
        <w:rPr>
          <w:b/>
          <w:lang w:val="en-US"/>
        </w:rPr>
        <w:t>metoodika</w:t>
      </w:r>
      <w:proofErr w:type="spellEnd"/>
      <w:r w:rsidR="009D5F00">
        <w:rPr>
          <w:b/>
          <w:lang w:val="en-US"/>
        </w:rPr>
        <w:t>?</w:t>
      </w:r>
      <w:proofErr w:type="gramEnd"/>
    </w:p>
    <w:p w:rsidR="00AA7433" w:rsidRDefault="00AA7433">
      <w:pPr>
        <w:rPr>
          <w:b/>
          <w:lang w:val="en-US"/>
        </w:rPr>
      </w:pPr>
      <w:r>
        <w:rPr>
          <w:b/>
          <w:lang w:val="en-US"/>
        </w:rPr>
        <w:t xml:space="preserve">Distributed </w:t>
      </w:r>
      <w:proofErr w:type="spellStart"/>
      <w:r>
        <w:rPr>
          <w:b/>
          <w:lang w:val="en-US"/>
        </w:rPr>
        <w:t>mudel</w:t>
      </w:r>
      <w:proofErr w:type="spellEnd"/>
      <w:r>
        <w:rPr>
          <w:b/>
          <w:lang w:val="en-US"/>
        </w:rPr>
        <w:t xml:space="preserve">, </w:t>
      </w:r>
      <w:proofErr w:type="spellStart"/>
      <w:r>
        <w:rPr>
          <w:b/>
          <w:lang w:val="en-US"/>
        </w:rPr>
        <w:t>missugune</w:t>
      </w:r>
      <w:proofErr w:type="spellEnd"/>
      <w:r>
        <w:rPr>
          <w:b/>
          <w:lang w:val="en-US"/>
        </w:rPr>
        <w:t xml:space="preserve"> on </w:t>
      </w:r>
      <w:proofErr w:type="spellStart"/>
      <w:r>
        <w:rPr>
          <w:b/>
          <w:lang w:val="en-US"/>
        </w:rPr>
        <w:t>momentide</w:t>
      </w:r>
      <w:proofErr w:type="spellEnd"/>
      <w:r>
        <w:rPr>
          <w:b/>
          <w:lang w:val="en-US"/>
        </w:rPr>
        <w:t xml:space="preserve"> </w:t>
      </w:r>
      <w:proofErr w:type="spellStart"/>
      <w:r>
        <w:rPr>
          <w:b/>
          <w:lang w:val="en-US"/>
        </w:rPr>
        <w:t>jaotus</w:t>
      </w:r>
      <w:proofErr w:type="spellEnd"/>
      <w:proofErr w:type="gramStart"/>
      <w:r>
        <w:rPr>
          <w:b/>
          <w:lang w:val="en-US"/>
        </w:rPr>
        <w:t>?(</w:t>
      </w:r>
      <w:proofErr w:type="spellStart"/>
      <w:proofErr w:type="gramEnd"/>
      <w:r>
        <w:rPr>
          <w:b/>
          <w:lang w:val="en-US"/>
        </w:rPr>
        <w:t>ei</w:t>
      </w:r>
      <w:proofErr w:type="spellEnd"/>
      <w:r>
        <w:rPr>
          <w:b/>
          <w:lang w:val="en-US"/>
        </w:rPr>
        <w:t xml:space="preserve"> pane </w:t>
      </w:r>
      <w:proofErr w:type="spellStart"/>
      <w:r>
        <w:rPr>
          <w:b/>
          <w:lang w:val="en-US"/>
        </w:rPr>
        <w:t>miskit</w:t>
      </w:r>
      <w:proofErr w:type="spellEnd"/>
      <w:r>
        <w:rPr>
          <w:b/>
          <w:lang w:val="en-US"/>
        </w:rPr>
        <w:t xml:space="preserve"> </w:t>
      </w:r>
      <w:proofErr w:type="spellStart"/>
      <w:r>
        <w:rPr>
          <w:b/>
          <w:lang w:val="en-US"/>
        </w:rPr>
        <w:t>vastu</w:t>
      </w:r>
      <w:proofErr w:type="spellEnd"/>
      <w:r>
        <w:rPr>
          <w:b/>
          <w:lang w:val="en-US"/>
        </w:rPr>
        <w:t xml:space="preserve">, </w:t>
      </w:r>
      <w:proofErr w:type="spellStart"/>
      <w:r>
        <w:rPr>
          <w:b/>
          <w:lang w:val="en-US"/>
        </w:rPr>
        <w:t>lihas</w:t>
      </w:r>
      <w:proofErr w:type="spellEnd"/>
      <w:r>
        <w:rPr>
          <w:b/>
          <w:lang w:val="en-US"/>
        </w:rPr>
        <w:t xml:space="preserve"> </w:t>
      </w:r>
      <w:proofErr w:type="spellStart"/>
      <w:r>
        <w:rPr>
          <w:b/>
          <w:lang w:val="en-US"/>
        </w:rPr>
        <w:t>liigub</w:t>
      </w:r>
      <w:proofErr w:type="spellEnd"/>
      <w:r>
        <w:rPr>
          <w:b/>
          <w:lang w:val="en-US"/>
        </w:rPr>
        <w:t xml:space="preserve"> </w:t>
      </w:r>
      <w:proofErr w:type="spellStart"/>
      <w:r>
        <w:rPr>
          <w:b/>
          <w:lang w:val="en-US"/>
        </w:rPr>
        <w:t>vabalt</w:t>
      </w:r>
      <w:proofErr w:type="spellEnd"/>
      <w:r>
        <w:rPr>
          <w:b/>
          <w:lang w:val="en-US"/>
        </w:rPr>
        <w:t>)</w:t>
      </w:r>
    </w:p>
    <w:p w:rsidR="00AA7433" w:rsidRDefault="00AA7433">
      <w:pPr>
        <w:rPr>
          <w:b/>
          <w:lang w:val="en-US"/>
        </w:rPr>
      </w:pPr>
    </w:p>
    <w:p w:rsidR="00AA7433" w:rsidRPr="009D5F00" w:rsidRDefault="00AA7433">
      <w:pPr>
        <w:rPr>
          <w:b/>
          <w:lang w:val="en-US"/>
        </w:rPr>
      </w:pPr>
    </w:p>
    <w:p w:rsidR="00217701" w:rsidRDefault="00AA7433">
      <w:pPr>
        <w:rPr>
          <w:b/>
          <w:noProof/>
          <w:lang w:eastAsia="et-EE"/>
        </w:rPr>
      </w:pPr>
      <w:r>
        <w:rPr>
          <w:b/>
          <w:noProof/>
          <w:lang w:eastAsia="et-EE"/>
        </w:rPr>
        <w:t>Kõverus on selline</w:t>
      </w:r>
    </w:p>
    <w:tbl>
      <w:tblPr>
        <w:tblStyle w:val="TableGrid"/>
        <w:tblW w:w="0" w:type="auto"/>
        <w:tblLook w:val="04A0" w:firstRow="1" w:lastRow="0" w:firstColumn="1" w:lastColumn="0" w:noHBand="0" w:noVBand="1"/>
      </w:tblPr>
      <w:tblGrid>
        <w:gridCol w:w="3108"/>
        <w:gridCol w:w="3306"/>
        <w:gridCol w:w="2874"/>
      </w:tblGrid>
      <w:tr w:rsidR="009D5F00" w:rsidTr="009D5F00">
        <w:tc>
          <w:tcPr>
            <w:tcW w:w="3070" w:type="dxa"/>
          </w:tcPr>
          <w:p w:rsidR="009D5F00" w:rsidRDefault="009D5F00">
            <w:pPr>
              <w:rPr>
                <w:b/>
                <w:lang w:val="en-US"/>
              </w:rPr>
            </w:pPr>
            <w:r>
              <w:rPr>
                <w:b/>
                <w:noProof/>
                <w:lang w:eastAsia="et-EE"/>
              </w:rPr>
              <w:lastRenderedPageBreak/>
              <w:drawing>
                <wp:inline distT="0" distB="0" distL="0" distR="0" wp14:anchorId="60693F99" wp14:editId="40B9B30A">
                  <wp:extent cx="1836752" cy="13775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_curve.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2290" cy="1381717"/>
                          </a:xfrm>
                          <a:prstGeom prst="rect">
                            <a:avLst/>
                          </a:prstGeom>
                        </pic:spPr>
                      </pic:pic>
                    </a:graphicData>
                  </a:graphic>
                </wp:inline>
              </w:drawing>
            </w:r>
          </w:p>
        </w:tc>
        <w:tc>
          <w:tcPr>
            <w:tcW w:w="3071" w:type="dxa"/>
          </w:tcPr>
          <w:p w:rsidR="009D5F00" w:rsidRDefault="009D5F00">
            <w:pPr>
              <w:rPr>
                <w:b/>
                <w:lang w:val="en-US"/>
              </w:rPr>
            </w:pPr>
            <w:r>
              <w:rPr>
                <w:b/>
                <w:noProof/>
                <w:lang w:eastAsia="et-EE"/>
              </w:rPr>
              <w:drawing>
                <wp:inline distT="0" distB="0" distL="0" distR="0" wp14:anchorId="1DEC1CF3" wp14:editId="061F6482">
                  <wp:extent cx="1961322" cy="1470991"/>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_curv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7236" cy="1475426"/>
                          </a:xfrm>
                          <a:prstGeom prst="rect">
                            <a:avLst/>
                          </a:prstGeom>
                        </pic:spPr>
                      </pic:pic>
                    </a:graphicData>
                  </a:graphic>
                </wp:inline>
              </w:drawing>
            </w:r>
          </w:p>
        </w:tc>
        <w:tc>
          <w:tcPr>
            <w:tcW w:w="3071" w:type="dxa"/>
          </w:tcPr>
          <w:p w:rsidR="009D5F00" w:rsidRDefault="009D5F00">
            <w:pPr>
              <w:rPr>
                <w:b/>
                <w:lang w:val="en-US"/>
              </w:rPr>
            </w:pPr>
            <w:r>
              <w:rPr>
                <w:b/>
                <w:noProof/>
                <w:lang w:eastAsia="et-EE"/>
              </w:rPr>
              <w:drawing>
                <wp:inline distT="0" distB="0" distL="0" distR="0" wp14:anchorId="6CE26D78" wp14:editId="458E941F">
                  <wp:extent cx="1685676" cy="16997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curv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0984" cy="1705099"/>
                          </a:xfrm>
                          <a:prstGeom prst="rect">
                            <a:avLst/>
                          </a:prstGeom>
                        </pic:spPr>
                      </pic:pic>
                    </a:graphicData>
                  </a:graphic>
                </wp:inline>
              </w:drawing>
            </w:r>
          </w:p>
        </w:tc>
      </w:tr>
      <w:tr w:rsidR="00802588" w:rsidTr="009D5F00">
        <w:tc>
          <w:tcPr>
            <w:tcW w:w="3070" w:type="dxa"/>
          </w:tcPr>
          <w:p w:rsidR="00802588" w:rsidRDefault="00802588">
            <w:pPr>
              <w:rPr>
                <w:b/>
                <w:noProof/>
                <w:lang w:eastAsia="et-EE"/>
              </w:rPr>
            </w:pPr>
            <w:r>
              <w:rPr>
                <w:b/>
                <w:noProof/>
                <w:lang w:eastAsia="et-EE"/>
              </w:rPr>
              <w:t>MS</w:t>
            </w:r>
          </w:p>
        </w:tc>
        <w:tc>
          <w:tcPr>
            <w:tcW w:w="3071" w:type="dxa"/>
          </w:tcPr>
          <w:p w:rsidR="00802588" w:rsidRDefault="00802588">
            <w:pPr>
              <w:rPr>
                <w:b/>
                <w:noProof/>
                <w:lang w:eastAsia="et-EE"/>
              </w:rPr>
            </w:pPr>
            <w:r>
              <w:rPr>
                <w:b/>
                <w:noProof/>
                <w:lang w:eastAsia="et-EE"/>
              </w:rPr>
              <w:t>CPC</w:t>
            </w:r>
          </w:p>
        </w:tc>
        <w:tc>
          <w:tcPr>
            <w:tcW w:w="3071" w:type="dxa"/>
          </w:tcPr>
          <w:p w:rsidR="00802588" w:rsidRDefault="00802588">
            <w:pPr>
              <w:rPr>
                <w:b/>
                <w:noProof/>
                <w:lang w:eastAsia="et-EE"/>
              </w:rPr>
            </w:pPr>
            <w:r>
              <w:rPr>
                <w:b/>
                <w:noProof/>
                <w:lang w:eastAsia="et-EE"/>
              </w:rPr>
              <w:t>Kullaga</w:t>
            </w:r>
            <w:r w:rsidR="00562342">
              <w:rPr>
                <w:b/>
                <w:noProof/>
                <w:lang w:eastAsia="et-EE"/>
              </w:rPr>
              <w:t xml:space="preserve"> IPMC</w:t>
            </w:r>
          </w:p>
        </w:tc>
      </w:tr>
    </w:tbl>
    <w:p w:rsidR="004E695A" w:rsidRDefault="00201D46">
      <w:pPr>
        <w:rPr>
          <w:b/>
          <w:lang w:val="en-US"/>
        </w:rPr>
      </w:pPr>
      <w:proofErr w:type="spellStart"/>
      <w:proofErr w:type="gramStart"/>
      <w:r>
        <w:rPr>
          <w:b/>
          <w:lang w:val="en-US"/>
        </w:rPr>
        <w:t>Ainult</w:t>
      </w:r>
      <w:proofErr w:type="spellEnd"/>
      <w:r>
        <w:rPr>
          <w:b/>
          <w:lang w:val="en-US"/>
        </w:rPr>
        <w:t xml:space="preserve"> </w:t>
      </w:r>
      <w:proofErr w:type="spellStart"/>
      <w:r>
        <w:rPr>
          <w:b/>
          <w:lang w:val="en-US"/>
        </w:rPr>
        <w:t>tagasivajumise</w:t>
      </w:r>
      <w:proofErr w:type="spellEnd"/>
      <w:r>
        <w:rPr>
          <w:b/>
          <w:lang w:val="en-US"/>
        </w:rPr>
        <w:t xml:space="preserve"> component.</w:t>
      </w:r>
      <w:proofErr w:type="gramEnd"/>
    </w:p>
    <w:p w:rsidR="000F42E6" w:rsidRPr="000F42E6" w:rsidRDefault="00F66F4B">
      <w:pPr>
        <w:rPr>
          <w:lang w:val="en-US"/>
        </w:rPr>
      </w:pPr>
      <w:r>
        <w:rPr>
          <w:lang w:val="en-US"/>
        </w:rPr>
        <w:t xml:space="preserve">According to previous </w:t>
      </w:r>
    </w:p>
    <w:tbl>
      <w:tblPr>
        <w:tblStyle w:val="TableGrid"/>
        <w:tblW w:w="0" w:type="auto"/>
        <w:tblLook w:val="04A0" w:firstRow="1" w:lastRow="0" w:firstColumn="1" w:lastColumn="0" w:noHBand="0" w:noVBand="1"/>
      </w:tblPr>
      <w:tblGrid>
        <w:gridCol w:w="3096"/>
        <w:gridCol w:w="3096"/>
        <w:gridCol w:w="3096"/>
      </w:tblGrid>
      <w:tr w:rsidR="00562342" w:rsidRPr="00562342" w:rsidTr="00562342">
        <w:tc>
          <w:tcPr>
            <w:tcW w:w="3218" w:type="dxa"/>
          </w:tcPr>
          <w:p w:rsidR="00562342" w:rsidRPr="00562342" w:rsidRDefault="00A34E13" w:rsidP="00562342">
            <w:pPr>
              <w:spacing w:after="200" w:line="276" w:lineRule="auto"/>
              <w:rPr>
                <w:b/>
                <w:lang w:val="en-US"/>
              </w:rPr>
            </w:pPr>
            <w:r>
              <w:rPr>
                <w:b/>
                <w:noProof/>
                <w:lang w:eastAsia="et-EE"/>
              </w:rPr>
              <w:drawing>
                <wp:inline distT="0" distB="0" distL="0" distR="0" wp14:anchorId="7084F027" wp14:editId="36FDF471">
                  <wp:extent cx="2051160" cy="1538370"/>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51160" cy="1538370"/>
                          </a:xfrm>
                          <a:prstGeom prst="rect">
                            <a:avLst/>
                          </a:prstGeom>
                          <a:noFill/>
                          <a:ln>
                            <a:noFill/>
                          </a:ln>
                        </pic:spPr>
                      </pic:pic>
                    </a:graphicData>
                  </a:graphic>
                </wp:inline>
              </w:drawing>
            </w:r>
          </w:p>
        </w:tc>
        <w:tc>
          <w:tcPr>
            <w:tcW w:w="3035" w:type="dxa"/>
          </w:tcPr>
          <w:p w:rsidR="00562342" w:rsidRPr="00562342" w:rsidRDefault="001E2D1C" w:rsidP="00562342">
            <w:pPr>
              <w:spacing w:after="200" w:line="276" w:lineRule="auto"/>
              <w:rPr>
                <w:b/>
                <w:lang w:val="en-US"/>
              </w:rPr>
            </w:pPr>
            <w:r>
              <w:rPr>
                <w:b/>
                <w:noProof/>
                <w:lang w:eastAsia="et-EE"/>
              </w:rPr>
              <w:drawing>
                <wp:inline distT="0" distB="0" distL="0" distR="0" wp14:anchorId="01F05CEC" wp14:editId="7D296EE5">
                  <wp:extent cx="2049116" cy="1535374"/>
                  <wp:effectExtent l="0" t="0" r="8890" b="8255"/>
                  <wp:docPr id="8" name="Picture 8" descr="D:\doktorantuur\ASME-SMASIS 2012\pics\CPC_relax_component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115" cy="1538370"/>
                          </a:xfrm>
                          <a:prstGeom prst="rect">
                            <a:avLst/>
                          </a:prstGeom>
                          <a:noFill/>
                          <a:ln>
                            <a:noFill/>
                          </a:ln>
                        </pic:spPr>
                      </pic:pic>
                    </a:graphicData>
                  </a:graphic>
                </wp:inline>
              </w:drawing>
            </w:r>
          </w:p>
        </w:tc>
        <w:tc>
          <w:tcPr>
            <w:tcW w:w="3035" w:type="dxa"/>
          </w:tcPr>
          <w:p w:rsidR="00562342" w:rsidRPr="00562342" w:rsidRDefault="00A34E13" w:rsidP="00562342">
            <w:pPr>
              <w:spacing w:after="200" w:line="276" w:lineRule="auto"/>
              <w:rPr>
                <w:b/>
                <w:lang w:val="en-US"/>
              </w:rPr>
            </w:pPr>
            <w:r>
              <w:rPr>
                <w:b/>
                <w:noProof/>
                <w:lang w:eastAsia="et-EE"/>
              </w:rPr>
              <w:drawing>
                <wp:inline distT="0" distB="0" distL="0" distR="0" wp14:anchorId="0A7FF98B" wp14:editId="6A94F22E">
                  <wp:extent cx="2053115" cy="1363161"/>
                  <wp:effectExtent l="0" t="0" r="444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torantuur\ASME-SMASIS 2012\pics\CPC_relax_components.tif"/>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53115" cy="1363161"/>
                          </a:xfrm>
                          <a:prstGeom prst="rect">
                            <a:avLst/>
                          </a:prstGeom>
                          <a:noFill/>
                          <a:ln>
                            <a:noFill/>
                          </a:ln>
                        </pic:spPr>
                      </pic:pic>
                    </a:graphicData>
                  </a:graphic>
                </wp:inline>
              </w:drawing>
            </w:r>
          </w:p>
        </w:tc>
      </w:tr>
      <w:tr w:rsidR="00562342" w:rsidRPr="00562342" w:rsidTr="00562342">
        <w:tc>
          <w:tcPr>
            <w:tcW w:w="3218" w:type="dxa"/>
          </w:tcPr>
          <w:p w:rsidR="00562342" w:rsidRPr="00562342" w:rsidRDefault="00562342" w:rsidP="00562342">
            <w:pPr>
              <w:spacing w:after="200" w:line="276" w:lineRule="auto"/>
              <w:rPr>
                <w:b/>
                <w:lang w:val="en-US"/>
              </w:rPr>
            </w:pPr>
            <w:r>
              <w:rPr>
                <w:b/>
                <w:lang w:val="en-US"/>
              </w:rPr>
              <w:t>MS</w:t>
            </w:r>
          </w:p>
        </w:tc>
        <w:tc>
          <w:tcPr>
            <w:tcW w:w="3035" w:type="dxa"/>
          </w:tcPr>
          <w:p w:rsidR="00562342" w:rsidRPr="00562342" w:rsidRDefault="00562342" w:rsidP="00562342">
            <w:pPr>
              <w:spacing w:after="200" w:line="276" w:lineRule="auto"/>
              <w:rPr>
                <w:b/>
                <w:lang w:val="en-US"/>
              </w:rPr>
            </w:pPr>
            <w:r>
              <w:rPr>
                <w:b/>
                <w:lang w:val="en-US"/>
              </w:rPr>
              <w:t>CPC</w:t>
            </w:r>
          </w:p>
        </w:tc>
        <w:tc>
          <w:tcPr>
            <w:tcW w:w="3035" w:type="dxa"/>
          </w:tcPr>
          <w:p w:rsidR="00562342" w:rsidRPr="00562342" w:rsidRDefault="00562342" w:rsidP="00562342">
            <w:pPr>
              <w:spacing w:after="200" w:line="276" w:lineRule="auto"/>
              <w:rPr>
                <w:b/>
                <w:lang w:val="en-US"/>
              </w:rPr>
            </w:pPr>
            <w:proofErr w:type="spellStart"/>
            <w:r>
              <w:rPr>
                <w:b/>
                <w:lang w:val="en-US"/>
              </w:rPr>
              <w:t>Kuld</w:t>
            </w:r>
            <w:proofErr w:type="spellEnd"/>
            <w:r>
              <w:rPr>
                <w:b/>
                <w:lang w:val="en-US"/>
              </w:rPr>
              <w:t xml:space="preserve"> IPMC</w:t>
            </w:r>
          </w:p>
        </w:tc>
      </w:tr>
    </w:tbl>
    <w:p w:rsidR="00562342" w:rsidRPr="00562342" w:rsidRDefault="00562342" w:rsidP="00562342">
      <w:pPr>
        <w:rPr>
          <w:b/>
          <w:lang w:val="en-US"/>
        </w:rPr>
      </w:pPr>
      <w:proofErr w:type="spellStart"/>
      <w:proofErr w:type="gramStart"/>
      <w:r w:rsidRPr="00562342">
        <w:rPr>
          <w:b/>
          <w:lang w:val="en-US"/>
        </w:rPr>
        <w:t>Nüüd</w:t>
      </w:r>
      <w:proofErr w:type="spellEnd"/>
      <w:r w:rsidRPr="00562342">
        <w:rPr>
          <w:b/>
          <w:lang w:val="en-US"/>
        </w:rPr>
        <w:t xml:space="preserve"> </w:t>
      </w:r>
      <w:proofErr w:type="spellStart"/>
      <w:r w:rsidRPr="00562342">
        <w:rPr>
          <w:b/>
          <w:lang w:val="en-US"/>
        </w:rPr>
        <w:t>otsime</w:t>
      </w:r>
      <w:proofErr w:type="spellEnd"/>
      <w:r w:rsidRPr="00562342">
        <w:rPr>
          <w:b/>
          <w:lang w:val="en-US"/>
        </w:rPr>
        <w:t xml:space="preserve"> </w:t>
      </w:r>
      <w:proofErr w:type="spellStart"/>
      <w:r w:rsidRPr="00562342">
        <w:rPr>
          <w:b/>
          <w:lang w:val="en-US"/>
        </w:rPr>
        <w:t>funktsiooni</w:t>
      </w:r>
      <w:proofErr w:type="spellEnd"/>
      <w:r w:rsidRPr="00562342">
        <w:rPr>
          <w:b/>
          <w:lang w:val="en-US"/>
        </w:rPr>
        <w:t xml:space="preserve">, </w:t>
      </w:r>
      <w:proofErr w:type="spellStart"/>
      <w:r w:rsidRPr="00562342">
        <w:rPr>
          <w:b/>
          <w:lang w:val="en-US"/>
        </w:rPr>
        <w:t>mis</w:t>
      </w:r>
      <w:proofErr w:type="spellEnd"/>
      <w:r w:rsidRPr="00562342">
        <w:rPr>
          <w:b/>
          <w:lang w:val="en-US"/>
        </w:rPr>
        <w:t xml:space="preserve"> </w:t>
      </w:r>
      <w:proofErr w:type="spellStart"/>
      <w:r w:rsidRPr="00562342">
        <w:rPr>
          <w:b/>
          <w:lang w:val="en-US"/>
        </w:rPr>
        <w:t>kirjeldaks</w:t>
      </w:r>
      <w:proofErr w:type="spellEnd"/>
      <w:r w:rsidRPr="00562342">
        <w:rPr>
          <w:b/>
          <w:lang w:val="en-US"/>
        </w:rPr>
        <w:t xml:space="preserve"> </w:t>
      </w:r>
      <w:proofErr w:type="spellStart"/>
      <w:r w:rsidRPr="00562342">
        <w:rPr>
          <w:b/>
          <w:lang w:val="en-US"/>
        </w:rPr>
        <w:t>seda</w:t>
      </w:r>
      <w:proofErr w:type="spellEnd"/>
      <w:r w:rsidRPr="00562342">
        <w:rPr>
          <w:b/>
          <w:lang w:val="en-US"/>
        </w:rPr>
        <w:t>.</w:t>
      </w:r>
      <w:proofErr w:type="gramEnd"/>
      <w:r w:rsidRPr="00562342">
        <w:rPr>
          <w:b/>
          <w:lang w:val="en-US"/>
        </w:rPr>
        <w:t xml:space="preserve"> </w:t>
      </w:r>
      <w:proofErr w:type="spellStart"/>
      <w:r w:rsidRPr="00562342">
        <w:rPr>
          <w:b/>
          <w:lang w:val="en-US"/>
        </w:rPr>
        <w:t>Näeme</w:t>
      </w:r>
      <w:proofErr w:type="spellEnd"/>
      <w:r w:rsidRPr="00562342">
        <w:rPr>
          <w:b/>
          <w:lang w:val="en-US"/>
        </w:rPr>
        <w:t xml:space="preserve">, </w:t>
      </w:r>
      <w:proofErr w:type="gramStart"/>
      <w:r w:rsidRPr="00562342">
        <w:rPr>
          <w:b/>
          <w:lang w:val="en-US"/>
        </w:rPr>
        <w:t>et</w:t>
      </w:r>
      <w:proofErr w:type="gramEnd"/>
      <w:r w:rsidRPr="00562342">
        <w:rPr>
          <w:b/>
          <w:lang w:val="en-US"/>
        </w:rPr>
        <w:t xml:space="preserve"> see </w:t>
      </w:r>
      <w:proofErr w:type="spellStart"/>
      <w:r w:rsidRPr="00562342">
        <w:rPr>
          <w:b/>
          <w:lang w:val="en-US"/>
        </w:rPr>
        <w:t>peab</w:t>
      </w:r>
      <w:proofErr w:type="spellEnd"/>
      <w:r w:rsidRPr="00562342">
        <w:rPr>
          <w:b/>
          <w:lang w:val="en-US"/>
        </w:rPr>
        <w:t xml:space="preserve"> </w:t>
      </w:r>
      <w:proofErr w:type="spellStart"/>
      <w:r w:rsidRPr="00562342">
        <w:rPr>
          <w:b/>
          <w:lang w:val="en-US"/>
        </w:rPr>
        <w:t>olema</w:t>
      </w:r>
      <w:proofErr w:type="spellEnd"/>
      <w:r w:rsidRPr="00562342">
        <w:rPr>
          <w:b/>
          <w:lang w:val="en-US"/>
        </w:rPr>
        <w:t xml:space="preserve"> </w:t>
      </w:r>
      <w:proofErr w:type="spellStart"/>
      <w:r w:rsidRPr="00562342">
        <w:rPr>
          <w:b/>
          <w:lang w:val="en-US"/>
        </w:rPr>
        <w:t>integraal</w:t>
      </w:r>
      <w:proofErr w:type="spellEnd"/>
      <w:r w:rsidRPr="00562342">
        <w:rPr>
          <w:b/>
          <w:lang w:val="en-US"/>
        </w:rPr>
        <w:t xml:space="preserve">, mille all on </w:t>
      </w:r>
      <w:proofErr w:type="spellStart"/>
      <w:r w:rsidRPr="00562342">
        <w:rPr>
          <w:b/>
          <w:lang w:val="en-US"/>
        </w:rPr>
        <w:t>asi</w:t>
      </w:r>
      <w:proofErr w:type="spellEnd"/>
      <w:r w:rsidRPr="00562342">
        <w:rPr>
          <w:b/>
          <w:lang w:val="en-US"/>
        </w:rPr>
        <w:t xml:space="preserve"> </w:t>
      </w:r>
      <w:proofErr w:type="spellStart"/>
      <w:r w:rsidRPr="00562342">
        <w:rPr>
          <w:b/>
          <w:lang w:val="en-US"/>
        </w:rPr>
        <w:t>mis</w:t>
      </w:r>
      <w:proofErr w:type="spellEnd"/>
      <w:r w:rsidRPr="00562342">
        <w:rPr>
          <w:b/>
          <w:lang w:val="en-US"/>
        </w:rPr>
        <w:t xml:space="preserve"> </w:t>
      </w:r>
      <w:proofErr w:type="spellStart"/>
      <w:r w:rsidRPr="00562342">
        <w:rPr>
          <w:b/>
          <w:lang w:val="en-US"/>
        </w:rPr>
        <w:t>liigutust</w:t>
      </w:r>
      <w:proofErr w:type="spellEnd"/>
      <w:r w:rsidRPr="00562342">
        <w:rPr>
          <w:b/>
          <w:lang w:val="en-US"/>
        </w:rPr>
        <w:t xml:space="preserve"> </w:t>
      </w:r>
      <w:proofErr w:type="spellStart"/>
      <w:r w:rsidRPr="00562342">
        <w:rPr>
          <w:b/>
          <w:lang w:val="en-US"/>
        </w:rPr>
        <w:t>põhjustab</w:t>
      </w:r>
      <w:proofErr w:type="spellEnd"/>
      <w:r w:rsidRPr="00562342">
        <w:rPr>
          <w:b/>
          <w:lang w:val="en-US"/>
        </w:rPr>
        <w:t xml:space="preserve"> (</w:t>
      </w:r>
      <w:proofErr w:type="spellStart"/>
      <w:r w:rsidRPr="00562342">
        <w:rPr>
          <w:b/>
          <w:lang w:val="en-US"/>
        </w:rPr>
        <w:t>laeng</w:t>
      </w:r>
      <w:proofErr w:type="spellEnd"/>
      <w:r w:rsidRPr="00562342">
        <w:rPr>
          <w:b/>
          <w:lang w:val="en-US"/>
        </w:rPr>
        <w:t xml:space="preserve">), </w:t>
      </w:r>
      <w:proofErr w:type="spellStart"/>
      <w:r w:rsidRPr="00562342">
        <w:rPr>
          <w:b/>
          <w:lang w:val="en-US"/>
        </w:rPr>
        <w:t>sest</w:t>
      </w:r>
      <w:proofErr w:type="spellEnd"/>
      <w:r w:rsidRPr="00562342">
        <w:rPr>
          <w:b/>
          <w:lang w:val="en-US"/>
        </w:rPr>
        <w:t xml:space="preserve"> </w:t>
      </w:r>
      <w:proofErr w:type="spellStart"/>
      <w:r w:rsidRPr="00562342">
        <w:rPr>
          <w:b/>
          <w:lang w:val="en-US"/>
        </w:rPr>
        <w:t>kuidagi</w:t>
      </w:r>
      <w:proofErr w:type="spellEnd"/>
      <w:r w:rsidRPr="00562342">
        <w:rPr>
          <w:b/>
          <w:lang w:val="en-US"/>
        </w:rPr>
        <w:t xml:space="preserve"> </w:t>
      </w:r>
      <w:proofErr w:type="spellStart"/>
      <w:r w:rsidRPr="00562342">
        <w:rPr>
          <w:b/>
          <w:lang w:val="en-US"/>
        </w:rPr>
        <w:t>peab</w:t>
      </w:r>
      <w:proofErr w:type="spellEnd"/>
      <w:r w:rsidRPr="00562342">
        <w:rPr>
          <w:b/>
          <w:lang w:val="en-US"/>
        </w:rPr>
        <w:t xml:space="preserve"> </w:t>
      </w:r>
      <w:proofErr w:type="spellStart"/>
      <w:r w:rsidRPr="00562342">
        <w:rPr>
          <w:b/>
          <w:lang w:val="en-US"/>
        </w:rPr>
        <w:t>arvesse</w:t>
      </w:r>
      <w:proofErr w:type="spellEnd"/>
      <w:r w:rsidRPr="00562342">
        <w:rPr>
          <w:b/>
          <w:lang w:val="en-US"/>
        </w:rPr>
        <w:t xml:space="preserve"> </w:t>
      </w:r>
      <w:proofErr w:type="spellStart"/>
      <w:r w:rsidRPr="00562342">
        <w:rPr>
          <w:b/>
          <w:lang w:val="en-US"/>
        </w:rPr>
        <w:t>võtma</w:t>
      </w:r>
      <w:proofErr w:type="spellEnd"/>
      <w:r w:rsidRPr="00562342">
        <w:rPr>
          <w:b/>
          <w:lang w:val="en-US"/>
        </w:rPr>
        <w:t xml:space="preserve"> </w:t>
      </w:r>
      <w:proofErr w:type="spellStart"/>
      <w:r w:rsidRPr="00562342">
        <w:rPr>
          <w:b/>
          <w:lang w:val="en-US"/>
        </w:rPr>
        <w:t>liigutuse</w:t>
      </w:r>
      <w:proofErr w:type="spellEnd"/>
      <w:r w:rsidRPr="00562342">
        <w:rPr>
          <w:b/>
          <w:lang w:val="en-US"/>
        </w:rPr>
        <w:t xml:space="preserve"> </w:t>
      </w:r>
      <w:proofErr w:type="spellStart"/>
      <w:r w:rsidRPr="00562342">
        <w:rPr>
          <w:b/>
          <w:lang w:val="en-US"/>
        </w:rPr>
        <w:t>ajalugu</w:t>
      </w:r>
      <w:proofErr w:type="spellEnd"/>
      <w:r w:rsidRPr="00562342">
        <w:rPr>
          <w:b/>
          <w:lang w:val="en-US"/>
        </w:rPr>
        <w:t>.</w:t>
      </w:r>
    </w:p>
    <w:p w:rsidR="00562342" w:rsidRDefault="00562342">
      <w:pPr>
        <w:rPr>
          <w:b/>
          <w:lang w:val="en-US"/>
        </w:rPr>
      </w:pPr>
    </w:p>
    <w:p w:rsidR="00E02F9C" w:rsidRDefault="00E02F9C">
      <w:pPr>
        <w:rPr>
          <w:b/>
          <w:lang w:val="en-US"/>
        </w:rPr>
      </w:pPr>
      <w:r w:rsidRPr="008A072B">
        <w:rPr>
          <w:b/>
          <w:lang w:val="en-US"/>
        </w:rPr>
        <w:t>Discussion</w:t>
      </w:r>
    </w:p>
    <w:p w:rsidR="00217701" w:rsidRPr="008A072B" w:rsidRDefault="00217701">
      <w:pPr>
        <w:rPr>
          <w:b/>
          <w:lang w:val="en-US"/>
        </w:rPr>
      </w:pPr>
      <w:r>
        <w:rPr>
          <w:b/>
          <w:lang w:val="en-US"/>
        </w:rPr>
        <w:t>…</w:t>
      </w:r>
    </w:p>
    <w:sectPr w:rsidR="00217701" w:rsidRPr="008A0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1DC1"/>
    <w:multiLevelType w:val="hybridMultilevel"/>
    <w:tmpl w:val="4B183782"/>
    <w:lvl w:ilvl="0" w:tplc="B14650E6">
      <w:start w:val="1"/>
      <w:numFmt w:val="decimal"/>
      <w:pStyle w:val="EQNumbering"/>
      <w:lvlText w:val="(%1)"/>
      <w:lvlJc w:val="left"/>
      <w:pPr>
        <w:ind w:left="720" w:hanging="360"/>
      </w:pPr>
      <w:rPr>
        <w:rFonts w:ascii="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22"/>
    <w:rsid w:val="000601AC"/>
    <w:rsid w:val="00060C9E"/>
    <w:rsid w:val="000F42E6"/>
    <w:rsid w:val="001A16BE"/>
    <w:rsid w:val="001E2D1C"/>
    <w:rsid w:val="001F16F5"/>
    <w:rsid w:val="00201D46"/>
    <w:rsid w:val="00217701"/>
    <w:rsid w:val="00291E4E"/>
    <w:rsid w:val="00380CE5"/>
    <w:rsid w:val="00481B82"/>
    <w:rsid w:val="004E695A"/>
    <w:rsid w:val="00562342"/>
    <w:rsid w:val="006061D1"/>
    <w:rsid w:val="00641C22"/>
    <w:rsid w:val="007B7741"/>
    <w:rsid w:val="00802588"/>
    <w:rsid w:val="008A072B"/>
    <w:rsid w:val="008B5633"/>
    <w:rsid w:val="008C3F61"/>
    <w:rsid w:val="009D53ED"/>
    <w:rsid w:val="009D5F00"/>
    <w:rsid w:val="00A1349E"/>
    <w:rsid w:val="00A34E13"/>
    <w:rsid w:val="00AA7433"/>
    <w:rsid w:val="00BB76AA"/>
    <w:rsid w:val="00C73797"/>
    <w:rsid w:val="00E02F9C"/>
    <w:rsid w:val="00E377B2"/>
    <w:rsid w:val="00F66F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00"/>
    <w:rPr>
      <w:rFonts w:ascii="Tahoma" w:hAnsi="Tahoma" w:cs="Tahoma"/>
      <w:sz w:val="16"/>
      <w:szCs w:val="16"/>
    </w:rPr>
  </w:style>
  <w:style w:type="table" w:styleId="TableGrid">
    <w:name w:val="Table Grid"/>
    <w:basedOn w:val="TableNormal"/>
    <w:uiPriority w:val="59"/>
    <w:rsid w:val="009D5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B76AA"/>
    <w:pPr>
      <w:spacing w:line="240" w:lineRule="auto"/>
    </w:pPr>
    <w:rPr>
      <w:b/>
      <w:bCs/>
      <w:color w:val="4F81BD" w:themeColor="accent1"/>
      <w:sz w:val="18"/>
      <w:szCs w:val="18"/>
    </w:rPr>
  </w:style>
  <w:style w:type="character" w:styleId="PlaceholderText">
    <w:name w:val="Placeholder Text"/>
    <w:basedOn w:val="DefaultParagraphFont"/>
    <w:uiPriority w:val="99"/>
    <w:semiHidden/>
    <w:rsid w:val="008C3F61"/>
    <w:rPr>
      <w:color w:val="808080"/>
    </w:rPr>
  </w:style>
  <w:style w:type="paragraph" w:customStyle="1" w:styleId="EQNumbering">
    <w:name w:val="EQNumbering"/>
    <w:basedOn w:val="Normal"/>
    <w:link w:val="EQNumberingChar"/>
    <w:rsid w:val="008C3F61"/>
    <w:pPr>
      <w:numPr>
        <w:numId w:val="1"/>
      </w:numPr>
      <w:spacing w:line="360" w:lineRule="auto"/>
      <w:ind w:left="357" w:hanging="357"/>
      <w:jc w:val="right"/>
    </w:pPr>
    <w:rPr>
      <w:rFonts w:ascii="Times New Roman" w:hAnsi="Times New Roman"/>
      <w:sz w:val="24"/>
    </w:rPr>
  </w:style>
  <w:style w:type="character" w:customStyle="1" w:styleId="EQNumberingChar">
    <w:name w:val="EQNumbering Char"/>
    <w:basedOn w:val="DefaultParagraphFont"/>
    <w:link w:val="EQNumbering"/>
    <w:rsid w:val="008C3F6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00"/>
    <w:rPr>
      <w:rFonts w:ascii="Tahoma" w:hAnsi="Tahoma" w:cs="Tahoma"/>
      <w:sz w:val="16"/>
      <w:szCs w:val="16"/>
    </w:rPr>
  </w:style>
  <w:style w:type="table" w:styleId="TableGrid">
    <w:name w:val="Table Grid"/>
    <w:basedOn w:val="TableNormal"/>
    <w:uiPriority w:val="59"/>
    <w:rsid w:val="009D5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B76AA"/>
    <w:pPr>
      <w:spacing w:line="240" w:lineRule="auto"/>
    </w:pPr>
    <w:rPr>
      <w:b/>
      <w:bCs/>
      <w:color w:val="4F81BD" w:themeColor="accent1"/>
      <w:sz w:val="18"/>
      <w:szCs w:val="18"/>
    </w:rPr>
  </w:style>
  <w:style w:type="character" w:styleId="PlaceholderText">
    <w:name w:val="Placeholder Text"/>
    <w:basedOn w:val="DefaultParagraphFont"/>
    <w:uiPriority w:val="99"/>
    <w:semiHidden/>
    <w:rsid w:val="008C3F61"/>
    <w:rPr>
      <w:color w:val="808080"/>
    </w:rPr>
  </w:style>
  <w:style w:type="paragraph" w:customStyle="1" w:styleId="EQNumbering">
    <w:name w:val="EQNumbering"/>
    <w:basedOn w:val="Normal"/>
    <w:link w:val="EQNumberingChar"/>
    <w:rsid w:val="008C3F61"/>
    <w:pPr>
      <w:numPr>
        <w:numId w:val="1"/>
      </w:numPr>
      <w:spacing w:line="360" w:lineRule="auto"/>
      <w:ind w:left="357" w:hanging="357"/>
      <w:jc w:val="right"/>
    </w:pPr>
    <w:rPr>
      <w:rFonts w:ascii="Times New Roman" w:hAnsi="Times New Roman"/>
      <w:sz w:val="24"/>
    </w:rPr>
  </w:style>
  <w:style w:type="character" w:customStyle="1" w:styleId="EQNumberingChar">
    <w:name w:val="EQNumbering Char"/>
    <w:basedOn w:val="DefaultParagraphFont"/>
    <w:link w:val="EQNumbering"/>
    <w:rsid w:val="008C3F6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tiff"/><Relationship Id="rId5" Type="http://schemas.openxmlformats.org/officeDocument/2006/relationships/settings" Target="settings.xml"/><Relationship Id="rId10" Type="http://schemas.openxmlformats.org/officeDocument/2006/relationships/image" Target="media/image4.tif"/><Relationship Id="rId4" Type="http://schemas.microsoft.com/office/2007/relationships/stylesWithEffects" Target="stylesWithEffects.xml"/><Relationship Id="rId9" Type="http://schemas.openxmlformats.org/officeDocument/2006/relationships/image" Target="media/image3.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E822-B824-4AF9-B079-2C2AD0AD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726</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Veiko</dc:creator>
  <cp:lastModifiedBy>Veiko</cp:lastModifiedBy>
  <cp:revision>4</cp:revision>
  <dcterms:created xsi:type="dcterms:W3CDTF">2012-05-18T11:10:00Z</dcterms:created>
  <dcterms:modified xsi:type="dcterms:W3CDTF">2012-05-18T15:45:00Z</dcterms:modified>
</cp:coreProperties>
</file>