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E2" w:rsidRDefault="000D23AB" w:rsidP="00D92F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Electroactive polymer actuators</w:t>
      </w:r>
      <w:r w:rsidR="00FD7262">
        <w:rPr>
          <w:b/>
          <w:sz w:val="28"/>
          <w:szCs w:val="28"/>
        </w:rPr>
        <w:t xml:space="preserve"> with carbon aerogel electrodes</w:t>
      </w:r>
    </w:p>
    <w:p w:rsidR="00D92FE2" w:rsidRPr="001F624B" w:rsidRDefault="00D92FE2" w:rsidP="00D92FE2">
      <w:pPr>
        <w:jc w:val="center"/>
        <w:rPr>
          <w:b/>
          <w:sz w:val="28"/>
          <w:szCs w:val="28"/>
        </w:rPr>
      </w:pPr>
    </w:p>
    <w:p w:rsidR="00D92FE2" w:rsidRPr="00D92FE2" w:rsidRDefault="00D92FE2" w:rsidP="00D92FE2">
      <w:pPr>
        <w:pStyle w:val="Subtitle"/>
        <w:spacing w:before="0" w:line="240" w:lineRule="auto"/>
        <w:jc w:val="center"/>
        <w:rPr>
          <w:rFonts w:ascii="Times New Roman" w:eastAsia="Batang" w:hAnsi="Times New Roman"/>
          <w:b/>
          <w:bCs/>
          <w:i w:val="0"/>
          <w:iCs w:val="0"/>
          <w:color w:val="000000"/>
          <w:spacing w:val="0"/>
        </w:rPr>
      </w:pPr>
      <w:r w:rsidRPr="001F624B">
        <w:rPr>
          <w:rFonts w:ascii="Times New Roman" w:eastAsia="Batang" w:hAnsi="Times New Roman"/>
          <w:b/>
          <w:bCs/>
          <w:i w:val="0"/>
          <w:iCs w:val="0"/>
          <w:color w:val="000000"/>
          <w:spacing w:val="0"/>
        </w:rPr>
        <w:t>Viljar Palmre</w:t>
      </w:r>
      <w:r w:rsidRPr="001F624B">
        <w:rPr>
          <w:rFonts w:ascii="Times New Roman" w:eastAsia="Batang" w:hAnsi="Times New Roman"/>
          <w:b/>
          <w:bCs/>
          <w:i w:val="0"/>
          <w:iCs w:val="0"/>
          <w:color w:val="000000"/>
          <w:spacing w:val="0"/>
          <w:vertAlign w:val="superscript"/>
        </w:rPr>
        <w:t>a</w:t>
      </w:r>
      <w:r w:rsidRPr="001F624B">
        <w:rPr>
          <w:rFonts w:ascii="Times New Roman" w:eastAsia="Batang" w:hAnsi="Times New Roman"/>
          <w:b/>
          <w:bCs/>
          <w:i w:val="0"/>
          <w:iCs w:val="0"/>
          <w:color w:val="000000"/>
          <w:spacing w:val="0"/>
        </w:rPr>
        <w:t xml:space="preserve">, </w:t>
      </w:r>
      <w:r w:rsidR="00AC7041">
        <w:rPr>
          <w:rFonts w:ascii="Times New Roman" w:eastAsia="Batang" w:hAnsi="Times New Roman"/>
          <w:b/>
          <w:bCs/>
          <w:i w:val="0"/>
          <w:iCs w:val="0"/>
          <w:color w:val="000000"/>
          <w:spacing w:val="0"/>
        </w:rPr>
        <w:t>Mihkel Koel</w:t>
      </w:r>
      <w:r w:rsidR="00AC7041" w:rsidRPr="00AC7041">
        <w:rPr>
          <w:rFonts w:ascii="Times New Roman" w:eastAsia="Batang" w:hAnsi="Times New Roman"/>
          <w:b/>
          <w:bCs/>
          <w:i w:val="0"/>
          <w:iCs w:val="0"/>
          <w:color w:val="000000"/>
          <w:spacing w:val="0"/>
          <w:vertAlign w:val="superscript"/>
        </w:rPr>
        <w:t>b</w:t>
      </w:r>
      <w:r w:rsidR="00AC7041">
        <w:rPr>
          <w:rFonts w:ascii="Times New Roman" w:eastAsia="Batang" w:hAnsi="Times New Roman"/>
          <w:b/>
          <w:bCs/>
          <w:i w:val="0"/>
          <w:iCs w:val="0"/>
          <w:color w:val="000000"/>
          <w:spacing w:val="0"/>
        </w:rPr>
        <w:t xml:space="preserve">, </w:t>
      </w:r>
      <w:r>
        <w:rPr>
          <w:rFonts w:ascii="Times New Roman" w:eastAsia="Batang" w:hAnsi="Times New Roman"/>
          <w:b/>
          <w:bCs/>
          <w:i w:val="0"/>
          <w:iCs w:val="0"/>
          <w:color w:val="000000"/>
          <w:spacing w:val="0"/>
        </w:rPr>
        <w:t>Janno Torop</w:t>
      </w:r>
      <w:r w:rsidRPr="00191503">
        <w:rPr>
          <w:rFonts w:ascii="Times New Roman" w:eastAsia="Batang" w:hAnsi="Times New Roman"/>
          <w:b/>
          <w:bCs/>
          <w:i w:val="0"/>
          <w:iCs w:val="0"/>
          <w:color w:val="000000"/>
          <w:spacing w:val="0"/>
          <w:vertAlign w:val="superscript"/>
        </w:rPr>
        <w:t>a</w:t>
      </w:r>
      <w:r w:rsidRPr="001F624B">
        <w:rPr>
          <w:rFonts w:ascii="Times New Roman" w:eastAsia="Batang" w:hAnsi="Times New Roman"/>
          <w:b/>
          <w:bCs/>
          <w:i w:val="0"/>
          <w:iCs w:val="0"/>
          <w:color w:val="000000"/>
          <w:spacing w:val="0"/>
        </w:rPr>
        <w:t xml:space="preserve">, </w:t>
      </w:r>
      <w:r w:rsidRPr="00AA7DB8">
        <w:rPr>
          <w:rFonts w:ascii="Times New Roman" w:eastAsia="Batang" w:hAnsi="Times New Roman"/>
          <w:b/>
          <w:bCs/>
          <w:i w:val="0"/>
          <w:iCs w:val="0"/>
          <w:color w:val="000000"/>
          <w:spacing w:val="0"/>
          <w:lang w:val="sv-SE"/>
        </w:rPr>
        <w:t>Urmas Johanson</w:t>
      </w:r>
      <w:r w:rsidRPr="00AA7DB8">
        <w:rPr>
          <w:rFonts w:ascii="Times New Roman" w:eastAsia="Batang" w:hAnsi="Times New Roman"/>
          <w:b/>
          <w:bCs/>
          <w:i w:val="0"/>
          <w:iCs w:val="0"/>
          <w:color w:val="000000"/>
          <w:spacing w:val="0"/>
          <w:vertAlign w:val="superscript"/>
          <w:lang w:val="sv-SE"/>
        </w:rPr>
        <w:t>a</w:t>
      </w:r>
      <w:r>
        <w:rPr>
          <w:rFonts w:ascii="Times New Roman" w:eastAsia="Batang" w:hAnsi="Times New Roman"/>
          <w:b/>
          <w:bCs/>
          <w:i w:val="0"/>
          <w:iCs w:val="0"/>
          <w:color w:val="000000"/>
          <w:spacing w:val="0"/>
          <w:lang w:val="sv-SE"/>
        </w:rPr>
        <w:t xml:space="preserve"> </w:t>
      </w:r>
      <w:r w:rsidRPr="00AA7DB8">
        <w:rPr>
          <w:rFonts w:ascii="Times New Roman" w:eastAsia="Batang" w:hAnsi="Times New Roman"/>
          <w:b/>
          <w:bCs/>
          <w:i w:val="0"/>
          <w:iCs w:val="0"/>
          <w:color w:val="000000"/>
          <w:spacing w:val="0"/>
          <w:lang w:val="sv-SE"/>
        </w:rPr>
        <w:t>and Alvo Aabloo</w:t>
      </w:r>
      <w:r w:rsidRPr="00AA7DB8">
        <w:rPr>
          <w:rFonts w:ascii="Times New Roman" w:eastAsia="Batang" w:hAnsi="Times New Roman"/>
          <w:b/>
          <w:bCs/>
          <w:i w:val="0"/>
          <w:iCs w:val="0"/>
          <w:color w:val="000000"/>
          <w:spacing w:val="0"/>
          <w:vertAlign w:val="superscript"/>
          <w:lang w:val="sv-SE"/>
        </w:rPr>
        <w:t>a,</w:t>
      </w:r>
      <w:r w:rsidRPr="00AA7DB8">
        <w:rPr>
          <w:rStyle w:val="FootnoteReference"/>
          <w:rFonts w:ascii="Times New Roman" w:eastAsia="Batang" w:hAnsi="Times New Roman"/>
          <w:b/>
          <w:bCs/>
          <w:i w:val="0"/>
          <w:iCs w:val="0"/>
          <w:color w:val="000000"/>
          <w:spacing w:val="0"/>
          <w:lang w:val="sv-SE"/>
        </w:rPr>
        <w:footnoteReference w:customMarkFollows="1" w:id="1"/>
        <w:t>*</w:t>
      </w:r>
    </w:p>
    <w:p w:rsidR="00D92FE2" w:rsidRPr="00AA7DB8" w:rsidRDefault="00D92FE2" w:rsidP="00D92FE2">
      <w:pPr>
        <w:rPr>
          <w:lang w:val="sv-SE" w:eastAsia="ar-SA"/>
        </w:rPr>
      </w:pPr>
    </w:p>
    <w:p w:rsidR="00D92FE2" w:rsidRDefault="00D92FE2" w:rsidP="00D92FE2">
      <w:pPr>
        <w:jc w:val="center"/>
        <w:rPr>
          <w:rStyle w:val="SubtleEmphasis"/>
          <w:color w:val="000000"/>
        </w:rPr>
      </w:pPr>
      <w:r w:rsidRPr="00D052EF">
        <w:rPr>
          <w:rStyle w:val="SubtleEmphasis"/>
          <w:color w:val="000000"/>
          <w:vertAlign w:val="superscript"/>
        </w:rPr>
        <w:t>a</w:t>
      </w:r>
      <w:smartTag w:uri="urn:schemas-microsoft-com:office:smarttags" w:element="PlaceType">
        <w:r w:rsidRPr="00D052EF">
          <w:rPr>
            <w:rStyle w:val="SubtleEmphasis"/>
            <w:color w:val="000000"/>
          </w:rPr>
          <w:t>Institute</w:t>
        </w:r>
      </w:smartTag>
      <w:r w:rsidRPr="00D052EF">
        <w:rPr>
          <w:rStyle w:val="SubtleEmphasis"/>
          <w:color w:val="000000"/>
        </w:rPr>
        <w:t xml:space="preserve"> of </w:t>
      </w:r>
      <w:smartTag w:uri="urn:schemas-microsoft-com:office:smarttags" w:element="PlaceName">
        <w:r w:rsidRPr="00D052EF">
          <w:rPr>
            <w:rStyle w:val="SubtleEmphasis"/>
            <w:color w:val="000000"/>
          </w:rPr>
          <w:t>Technology</w:t>
        </w:r>
      </w:smartTag>
      <w:r w:rsidRPr="00D052EF">
        <w:rPr>
          <w:rStyle w:val="SubtleEmphasis"/>
          <w:color w:val="000000"/>
        </w:rPr>
        <w:t xml:space="preserve">, </w:t>
      </w:r>
      <w:smartTag w:uri="urn:schemas-microsoft-com:office:smarttags" w:element="PlaceName">
        <w:r w:rsidRPr="00D052EF">
          <w:rPr>
            <w:rStyle w:val="SubtleEmphasis"/>
            <w:color w:val="000000"/>
          </w:rPr>
          <w:t>Tartu</w:t>
        </w:r>
      </w:smartTag>
      <w:r w:rsidRPr="00D052EF">
        <w:rPr>
          <w:rStyle w:val="SubtleEmphasis"/>
          <w:color w:val="000000"/>
        </w:rPr>
        <w:t xml:space="preserve"> </w:t>
      </w:r>
      <w:smartTag w:uri="urn:schemas-microsoft-com:office:smarttags" w:element="PlaceType">
        <w:r w:rsidRPr="00D052EF">
          <w:rPr>
            <w:rStyle w:val="SubtleEmphasis"/>
            <w:color w:val="000000"/>
          </w:rPr>
          <w:t>University</w:t>
        </w:r>
      </w:smartTag>
      <w:r w:rsidRPr="00D052EF">
        <w:rPr>
          <w:rStyle w:val="SubtleEmphasis"/>
          <w:color w:val="000000"/>
        </w:rPr>
        <w:t xml:space="preserve">, Nooruse 1, 50411 </w:t>
      </w:r>
      <w:smartTag w:uri="urn:schemas-microsoft-com:office:smarttags" w:element="City">
        <w:r w:rsidRPr="00D052EF">
          <w:rPr>
            <w:rStyle w:val="SubtleEmphasis"/>
            <w:color w:val="000000"/>
          </w:rPr>
          <w:t>Tartu</w:t>
        </w:r>
      </w:smartTag>
      <w:r w:rsidRPr="00D052EF">
        <w:rPr>
          <w:rStyle w:val="SubtleEmphasis"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D052EF">
            <w:rPr>
              <w:rStyle w:val="SubtleEmphasis"/>
              <w:color w:val="000000"/>
            </w:rPr>
            <w:t>Estonia</w:t>
          </w:r>
        </w:smartTag>
      </w:smartTag>
    </w:p>
    <w:p w:rsidR="00D92FE2" w:rsidRDefault="00AC7041" w:rsidP="00D92FE2">
      <w:pPr>
        <w:jc w:val="center"/>
        <w:rPr>
          <w:rStyle w:val="SubtleEmphasis"/>
          <w:color w:val="000000"/>
        </w:rPr>
      </w:pPr>
      <w:r>
        <w:rPr>
          <w:rStyle w:val="SubtleEmphasis"/>
          <w:color w:val="000000"/>
          <w:vertAlign w:val="superscript"/>
        </w:rPr>
        <w:t>b</w:t>
      </w:r>
      <w:r w:rsidR="00D92FE2" w:rsidRPr="00D052EF">
        <w:rPr>
          <w:rStyle w:val="SubtleEmphasis"/>
          <w:color w:val="000000"/>
        </w:rPr>
        <w:t xml:space="preserve">Faculty of </w:t>
      </w:r>
      <w:r>
        <w:rPr>
          <w:rStyle w:val="SubtleEmphasis"/>
          <w:color w:val="000000"/>
        </w:rPr>
        <w:t xml:space="preserve">Natural </w:t>
      </w:r>
      <w:r w:rsidR="00D92FE2">
        <w:rPr>
          <w:rStyle w:val="SubtleEmphasis"/>
          <w:color w:val="000000"/>
        </w:rPr>
        <w:t>Science</w:t>
      </w:r>
      <w:r>
        <w:rPr>
          <w:rStyle w:val="SubtleEmphasis"/>
          <w:color w:val="000000"/>
        </w:rPr>
        <w:t>s</w:t>
      </w:r>
      <w:r w:rsidR="00D92FE2" w:rsidRPr="00D052EF">
        <w:rPr>
          <w:rStyle w:val="SubtleEmphasis"/>
          <w:color w:val="000000"/>
        </w:rPr>
        <w:t xml:space="preserve">: </w:t>
      </w:r>
      <w:r w:rsidR="00D92FE2">
        <w:rPr>
          <w:rStyle w:val="SubtleEmphasis"/>
          <w:color w:val="000000"/>
        </w:rPr>
        <w:t xml:space="preserve">Department of Chemistry, </w:t>
      </w:r>
      <w:r w:rsidR="00D92FE2" w:rsidRPr="00D052EF">
        <w:rPr>
          <w:rStyle w:val="SubtleEmphasis"/>
          <w:color w:val="000000"/>
        </w:rPr>
        <w:t xml:space="preserve">Tallinn University of Technology, </w:t>
      </w:r>
      <w:r>
        <w:rPr>
          <w:rStyle w:val="SubtleEmphasis"/>
          <w:color w:val="000000"/>
        </w:rPr>
        <w:t>Akadeemia</w:t>
      </w:r>
      <w:r w:rsidR="00D92FE2" w:rsidRPr="00D052EF">
        <w:rPr>
          <w:rStyle w:val="SubtleEmphasis"/>
          <w:color w:val="000000"/>
        </w:rPr>
        <w:t xml:space="preserve"> tee </w:t>
      </w:r>
      <w:r>
        <w:rPr>
          <w:rStyle w:val="SubtleEmphasis"/>
          <w:color w:val="000000"/>
        </w:rPr>
        <w:t>15, 12618</w:t>
      </w:r>
      <w:r w:rsidR="00D92FE2" w:rsidRPr="00D052EF">
        <w:rPr>
          <w:rStyle w:val="SubtleEmphasis"/>
          <w:color w:val="000000"/>
        </w:rPr>
        <w:t xml:space="preserve"> Tallinn, Estonia</w:t>
      </w:r>
    </w:p>
    <w:p w:rsidR="00D92FE2" w:rsidRDefault="00D92FE2" w:rsidP="00D92FE2">
      <w:pPr>
        <w:jc w:val="center"/>
        <w:rPr>
          <w:rStyle w:val="SubtleEmphasis"/>
          <w:color w:val="000000"/>
        </w:rPr>
      </w:pPr>
    </w:p>
    <w:p w:rsidR="00D92FE2" w:rsidRDefault="00D92FE2" w:rsidP="00D92FE2">
      <w:pPr>
        <w:rPr>
          <w:rStyle w:val="SubtleEmphasis"/>
          <w:b/>
          <w:i w:val="0"/>
          <w:color w:val="000000"/>
        </w:rPr>
      </w:pPr>
      <w:r w:rsidRPr="00D052EF">
        <w:rPr>
          <w:rStyle w:val="SubtleEmphasis"/>
          <w:b/>
          <w:i w:val="0"/>
          <w:color w:val="000000"/>
        </w:rPr>
        <w:t>Abstract</w:t>
      </w:r>
    </w:p>
    <w:p w:rsidR="00CD14A7" w:rsidRDefault="00CD14A7" w:rsidP="00D92FE2">
      <w:pPr>
        <w:jc w:val="both"/>
      </w:pPr>
    </w:p>
    <w:p w:rsidR="006A2130" w:rsidRDefault="000D23AB" w:rsidP="00D92FE2">
      <w:pPr>
        <w:jc w:val="both"/>
      </w:pPr>
      <w:r>
        <w:t>E</w:t>
      </w:r>
      <w:r w:rsidR="0011297D">
        <w:t>lectroactive polymers (EAP</w:t>
      </w:r>
      <w:r w:rsidR="00533CA4">
        <w:t>s</w:t>
      </w:r>
      <w:r w:rsidR="0011297D">
        <w:t xml:space="preserve">) </w:t>
      </w:r>
      <w:r>
        <w:t>are soft</w:t>
      </w:r>
      <w:r w:rsidR="00F26CDE">
        <w:t xml:space="preserve"> </w:t>
      </w:r>
      <w:r>
        <w:t xml:space="preserve">materials </w:t>
      </w:r>
      <w:r w:rsidR="00F26CDE">
        <w:t>whose</w:t>
      </w:r>
      <w:r w:rsidR="00AB0F7E">
        <w:t xml:space="preserve"> </w:t>
      </w:r>
      <w:r w:rsidR="00F26CDE">
        <w:t xml:space="preserve">shape is modified in response to the voltage stimulus. They can be used as actuators or sensors. </w:t>
      </w:r>
      <w:r w:rsidR="00356F9D">
        <w:t xml:space="preserve">Several researchers have introduced </w:t>
      </w:r>
      <w:r w:rsidR="006A2130">
        <w:t xml:space="preserve">different materials and methods for assembling </w:t>
      </w:r>
      <w:r w:rsidR="00FD7262">
        <w:t>EAP</w:t>
      </w:r>
      <w:r w:rsidR="006C658C">
        <w:t>s</w:t>
      </w:r>
      <w:r w:rsidR="006A2130">
        <w:t xml:space="preserve">. </w:t>
      </w:r>
      <w:r w:rsidR="007734AA">
        <w:t>Now it is generally accepted that the porous structure of electrodes w</w:t>
      </w:r>
      <w:r w:rsidR="00F045B2">
        <w:t xml:space="preserve">ith possibly high specific area </w:t>
      </w:r>
      <w:r w:rsidR="001E2491">
        <w:t>can greatly improve</w:t>
      </w:r>
      <w:r w:rsidR="007734AA">
        <w:t xml:space="preserve"> </w:t>
      </w:r>
      <w:r w:rsidR="001E2491">
        <w:t xml:space="preserve">the </w:t>
      </w:r>
      <w:r w:rsidR="007734AA">
        <w:t>actuation</w:t>
      </w:r>
      <w:r w:rsidR="001E2491">
        <w:t xml:space="preserve"> performance</w:t>
      </w:r>
      <w:r w:rsidR="007734AA">
        <w:t xml:space="preserve">. </w:t>
      </w:r>
      <w:r w:rsidR="00AC5C2D">
        <w:t xml:space="preserve">In this </w:t>
      </w:r>
      <w:r w:rsidR="00AB0F7E">
        <w:t>paper</w:t>
      </w:r>
      <w:r w:rsidR="00AC5C2D">
        <w:t>,</w:t>
      </w:r>
      <w:r w:rsidR="00356F9D">
        <w:t xml:space="preserve"> </w:t>
      </w:r>
      <w:r w:rsidR="0011297D">
        <w:t xml:space="preserve">a </w:t>
      </w:r>
      <w:r w:rsidR="00356F9D">
        <w:t xml:space="preserve">carbon aerogel is </w:t>
      </w:r>
      <w:r w:rsidR="006A2130">
        <w:t xml:space="preserve">introduced as a new </w:t>
      </w:r>
      <w:r w:rsidR="0041423A">
        <w:t>material</w:t>
      </w:r>
      <w:r w:rsidR="006A2130">
        <w:t xml:space="preserve"> for</w:t>
      </w:r>
      <w:r w:rsidR="0011297D">
        <w:t xml:space="preserve"> making nanoporous electrodes for </w:t>
      </w:r>
      <w:r w:rsidR="00F26CDE">
        <w:t xml:space="preserve">EAP </w:t>
      </w:r>
      <w:r w:rsidR="0011297D">
        <w:t xml:space="preserve">actuators. </w:t>
      </w:r>
      <w:r w:rsidR="005943E7">
        <w:t>Using the direct assembly process (DAP), a</w:t>
      </w:r>
      <w:r w:rsidR="0011297D">
        <w:t xml:space="preserve">ctuators with </w:t>
      </w:r>
      <w:r w:rsidR="00FD0DE0">
        <w:t>either activated or</w:t>
      </w:r>
      <w:r w:rsidR="0011297D">
        <w:t xml:space="preserve"> non-activated car</w:t>
      </w:r>
      <w:r w:rsidR="00FD0DE0">
        <w:t xml:space="preserve">bon aerogel </w:t>
      </w:r>
      <w:r w:rsidR="005943E7">
        <w:t xml:space="preserve">electrodes </w:t>
      </w:r>
      <w:r w:rsidR="00FD0DE0">
        <w:t xml:space="preserve">are </w:t>
      </w:r>
      <w:r w:rsidR="00A25B24">
        <w:t>synthesize</w:t>
      </w:r>
      <w:r w:rsidR="009B1F22">
        <w:t>d.</w:t>
      </w:r>
      <w:r w:rsidR="00AB0F7E">
        <w:t xml:space="preserve"> </w:t>
      </w:r>
      <w:r w:rsidR="009B1F22">
        <w:t>T</w:t>
      </w:r>
      <w:r w:rsidR="00FD0DE0">
        <w:t xml:space="preserve">heir electrochemical and </w:t>
      </w:r>
      <w:r w:rsidR="009B1F22">
        <w:t>electromechanical characteristics are</w:t>
      </w:r>
      <w:r w:rsidR="005943E7">
        <w:t xml:space="preserve"> </w:t>
      </w:r>
      <w:r w:rsidR="009B1F22">
        <w:t xml:space="preserve">presented and </w:t>
      </w:r>
      <w:r w:rsidR="005943E7">
        <w:t xml:space="preserve">compared </w:t>
      </w:r>
      <w:r w:rsidR="001C6166">
        <w:t>to</w:t>
      </w:r>
      <w:r w:rsidR="005943E7">
        <w:t xml:space="preserve"> our recently re</w:t>
      </w:r>
      <w:r w:rsidR="00ED54F1">
        <w:t xml:space="preserve">ported </w:t>
      </w:r>
      <w:r w:rsidR="00C06EFB">
        <w:t xml:space="preserve">actuators </w:t>
      </w:r>
      <w:r w:rsidR="000C122F">
        <w:t>based on</w:t>
      </w:r>
      <w:r w:rsidR="00C06EFB">
        <w:t xml:space="preserve"> </w:t>
      </w:r>
      <w:r w:rsidR="00582A9E">
        <w:t xml:space="preserve">carbide-derived carbon </w:t>
      </w:r>
      <w:r w:rsidR="00ED54F1">
        <w:t>and activated carbon electrodes.</w:t>
      </w:r>
      <w:r w:rsidR="00243E17">
        <w:t xml:space="preserve"> </w:t>
      </w:r>
      <w:r w:rsidR="00D170B6">
        <w:t>The results</w:t>
      </w:r>
      <w:r w:rsidR="00243E17">
        <w:t xml:space="preserve"> </w:t>
      </w:r>
      <w:r w:rsidR="005C68E0">
        <w:t>show</w:t>
      </w:r>
      <w:r w:rsidR="005D786A">
        <w:t>s</w:t>
      </w:r>
      <w:r w:rsidR="00243E17">
        <w:t xml:space="preserve"> that </w:t>
      </w:r>
      <w:r w:rsidR="005D786A">
        <w:t xml:space="preserve">our newly developed </w:t>
      </w:r>
      <w:r w:rsidR="00F26CDE">
        <w:t>actuator</w:t>
      </w:r>
      <w:r w:rsidR="006F7B9C">
        <w:t>s</w:t>
      </w:r>
      <w:r w:rsidR="00243E17">
        <w:t xml:space="preserve"> with</w:t>
      </w:r>
      <w:r w:rsidR="006F7B9C">
        <w:t xml:space="preserve"> </w:t>
      </w:r>
      <w:r w:rsidR="00733D39">
        <w:t xml:space="preserve">non-activated </w:t>
      </w:r>
      <w:r w:rsidR="00706429">
        <w:t xml:space="preserve">carbon aerogel electrodes </w:t>
      </w:r>
      <w:r w:rsidR="00733D39">
        <w:t>and activated carbon aerogel electrodes have</w:t>
      </w:r>
      <w:r w:rsidR="00243E17">
        <w:t xml:space="preserve"> maximum strain</w:t>
      </w:r>
      <w:r w:rsidR="00F045B2">
        <w:t>s</w:t>
      </w:r>
      <w:r w:rsidR="00243E17">
        <w:t xml:space="preserve"> of </w:t>
      </w:r>
      <w:r w:rsidR="006F7B9C">
        <w:t>1.3% and 1.1%</w:t>
      </w:r>
      <w:r w:rsidR="00733D39">
        <w:t xml:space="preserve">, respectively, </w:t>
      </w:r>
      <w:r w:rsidR="005C68E0">
        <w:t>which are comparable to our previously reported actuators and also any other low-voltage driven EAP actuators.</w:t>
      </w:r>
    </w:p>
    <w:p w:rsidR="0011297D" w:rsidRDefault="0011297D" w:rsidP="00D92FE2">
      <w:pPr>
        <w:jc w:val="both"/>
      </w:pPr>
    </w:p>
    <w:p w:rsidR="0011297D" w:rsidRDefault="0011297D" w:rsidP="00D92FE2">
      <w:pPr>
        <w:jc w:val="both"/>
      </w:pPr>
    </w:p>
    <w:p w:rsidR="00D92FE2" w:rsidRDefault="00D92FE2" w:rsidP="00D92FE2">
      <w:pPr>
        <w:jc w:val="both"/>
      </w:pPr>
      <w:r w:rsidRPr="00D052EF">
        <w:rPr>
          <w:i/>
        </w:rPr>
        <w:t>Keywords</w:t>
      </w:r>
      <w:r>
        <w:t xml:space="preserve">: </w:t>
      </w:r>
      <w:r w:rsidRPr="007D1DF1">
        <w:t xml:space="preserve">Actuator; </w:t>
      </w:r>
      <w:r w:rsidR="00F26CDE">
        <w:t xml:space="preserve">Electroactive polymer; EAP; </w:t>
      </w:r>
      <w:r w:rsidRPr="007D1DF1">
        <w:t>Ioni</w:t>
      </w:r>
      <w:r w:rsidR="00F26CDE">
        <w:t>c Polymer Metal Composite</w:t>
      </w:r>
      <w:r w:rsidRPr="007D1DF1">
        <w:t xml:space="preserve">; Nafion; </w:t>
      </w:r>
      <w:r w:rsidR="005F5996">
        <w:t xml:space="preserve">Carbon Aerogel; </w:t>
      </w:r>
      <w:r>
        <w:t>Carbon Electrode;</w:t>
      </w:r>
      <w:r w:rsidR="005F5996">
        <w:t xml:space="preserve"> </w:t>
      </w:r>
      <w:r w:rsidRPr="007D1DF1">
        <w:t>Carbide Derived Carbon</w:t>
      </w:r>
      <w:r>
        <w:t>.</w:t>
      </w:r>
    </w:p>
    <w:p w:rsidR="005F5996" w:rsidRDefault="005F5996">
      <w:pPr>
        <w:spacing w:after="200" w:line="276" w:lineRule="auto"/>
      </w:pPr>
      <w:r>
        <w:br w:type="page"/>
      </w:r>
    </w:p>
    <w:p w:rsidR="005F5996" w:rsidRDefault="005F5996" w:rsidP="005F5996">
      <w:pPr>
        <w:jc w:val="both"/>
        <w:rPr>
          <w:b/>
        </w:rPr>
      </w:pPr>
      <w:r w:rsidRPr="00D052EF">
        <w:rPr>
          <w:b/>
        </w:rPr>
        <w:lastRenderedPageBreak/>
        <w:t>1. Introduction</w:t>
      </w:r>
    </w:p>
    <w:p w:rsidR="005F5996" w:rsidRDefault="005F5996" w:rsidP="005F5996">
      <w:pPr>
        <w:jc w:val="both"/>
      </w:pPr>
    </w:p>
    <w:p w:rsidR="00F83221" w:rsidRDefault="00C26002" w:rsidP="005F5996">
      <w:pPr>
        <w:jc w:val="both"/>
      </w:pPr>
      <w:r>
        <w:t>Electroactive polymer</w:t>
      </w:r>
      <w:r w:rsidR="00EC355A">
        <w:t xml:space="preserve"> (</w:t>
      </w:r>
      <w:r>
        <w:t>EAP</w:t>
      </w:r>
      <w:r w:rsidR="00EC355A">
        <w:t xml:space="preserve">) </w:t>
      </w:r>
      <w:r>
        <w:t xml:space="preserve">actuators </w:t>
      </w:r>
      <w:r w:rsidR="00F83221">
        <w:t xml:space="preserve">have </w:t>
      </w:r>
      <w:r w:rsidR="0056324A">
        <w:t>been extensively studied during the recent years</w:t>
      </w:r>
      <w:r w:rsidR="006D1FC2">
        <w:t>.</w:t>
      </w:r>
      <w:r w:rsidR="0056324A">
        <w:t xml:space="preserve"> </w:t>
      </w:r>
      <w:r w:rsidR="001B585D">
        <w:t>T</w:t>
      </w:r>
      <w:r w:rsidR="0056324A">
        <w:t>he</w:t>
      </w:r>
      <w:r w:rsidR="001B585D">
        <w:t xml:space="preserve">ir </w:t>
      </w:r>
      <w:r w:rsidR="000C6051">
        <w:t xml:space="preserve">soft, </w:t>
      </w:r>
      <w:r w:rsidR="001B585D">
        <w:t xml:space="preserve">flexible </w:t>
      </w:r>
      <w:r w:rsidR="000C6051">
        <w:t xml:space="preserve">structure and </w:t>
      </w:r>
      <w:r w:rsidR="001B585D">
        <w:t xml:space="preserve">ability to respond quickly with large linear </w:t>
      </w:r>
      <w:r>
        <w:t xml:space="preserve">deformations </w:t>
      </w:r>
      <w:r w:rsidR="00C3293E">
        <w:t>make</w:t>
      </w:r>
      <w:r w:rsidR="001B585D">
        <w:t>s</w:t>
      </w:r>
      <w:r w:rsidR="00EC355A">
        <w:t xml:space="preserve"> them attractive for </w:t>
      </w:r>
      <w:r w:rsidR="000C6051">
        <w:t xml:space="preserve">a </w:t>
      </w:r>
      <w:r w:rsidR="00EC355A">
        <w:t>wide range of applications</w:t>
      </w:r>
      <w:r>
        <w:t xml:space="preserve"> including</w:t>
      </w:r>
      <w:r w:rsidR="000C6051">
        <w:t xml:space="preserve"> biomimetics, </w:t>
      </w:r>
      <w:r>
        <w:t xml:space="preserve">robotics, </w:t>
      </w:r>
      <w:r w:rsidR="000C6051">
        <w:t xml:space="preserve">micro-electromechnaical systems, </w:t>
      </w:r>
      <w:r>
        <w:t>and medical</w:t>
      </w:r>
      <w:r w:rsidR="000C6051">
        <w:t xml:space="preserve"> devices</w:t>
      </w:r>
      <w:r w:rsidR="000C6051">
        <w:rPr>
          <w:rStyle w:val="EndnoteReference"/>
        </w:rPr>
        <w:endnoteReference w:id="1"/>
      </w:r>
      <w:r w:rsidR="000C6051">
        <w:t>.</w:t>
      </w:r>
      <w:r w:rsidR="00C13470">
        <w:t xml:space="preserve"> EAPs </w:t>
      </w:r>
      <w:r w:rsidR="001B4996">
        <w:t xml:space="preserve">may have several configurations and can be manufactured using variety of different materials, </w:t>
      </w:r>
    </w:p>
    <w:p w:rsidR="0084675B" w:rsidRDefault="0084675B" w:rsidP="005F5996">
      <w:pPr>
        <w:rPr>
          <w:b/>
          <w:color w:val="000000"/>
        </w:rPr>
      </w:pPr>
    </w:p>
    <w:p w:rsidR="0084675B" w:rsidRDefault="0084675B" w:rsidP="0084675B">
      <w:pPr>
        <w:jc w:val="both"/>
        <w:rPr>
          <w:b/>
          <w:color w:val="000000"/>
        </w:rPr>
      </w:pPr>
      <w:r>
        <w:rPr>
          <w:b/>
          <w:color w:val="000000"/>
        </w:rPr>
        <w:t>2. Experimental</w:t>
      </w:r>
    </w:p>
    <w:p w:rsidR="0084675B" w:rsidRDefault="0084675B" w:rsidP="0084675B">
      <w:pPr>
        <w:jc w:val="both"/>
        <w:rPr>
          <w:b/>
          <w:color w:val="000000"/>
        </w:rPr>
      </w:pPr>
    </w:p>
    <w:p w:rsidR="0084675B" w:rsidRDefault="003C519E" w:rsidP="0084675B">
      <w:pPr>
        <w:jc w:val="both"/>
        <w:rPr>
          <w:i/>
          <w:color w:val="000000"/>
        </w:rPr>
      </w:pPr>
      <w:r>
        <w:rPr>
          <w:i/>
          <w:color w:val="000000"/>
        </w:rPr>
        <w:t>2.1 Chemicals and materials</w:t>
      </w:r>
    </w:p>
    <w:p w:rsidR="0084675B" w:rsidRDefault="0084675B" w:rsidP="0084675B">
      <w:pPr>
        <w:pStyle w:val="BodyText"/>
        <w:spacing w:before="0" w:line="240" w:lineRule="auto"/>
        <w:rPr>
          <w:sz w:val="24"/>
          <w:szCs w:val="24"/>
        </w:rPr>
      </w:pPr>
    </w:p>
    <w:p w:rsidR="0084675B" w:rsidRPr="006E6D44" w:rsidRDefault="0084675B" w:rsidP="0084675B">
      <w:pPr>
        <w:pStyle w:val="BodyText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Carbon aerogels (activated and non-activated)</w:t>
      </w:r>
      <w:r w:rsidRPr="006E6D44">
        <w:rPr>
          <w:sz w:val="24"/>
          <w:szCs w:val="24"/>
        </w:rPr>
        <w:t xml:space="preserve"> </w:t>
      </w:r>
      <w:r>
        <w:rPr>
          <w:sz w:val="24"/>
          <w:szCs w:val="24"/>
        </w:rPr>
        <w:t>were provided by</w:t>
      </w:r>
      <w:r w:rsidRPr="006E6D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Tallinn University of Technology </w:t>
      </w:r>
      <w:r w:rsidRPr="006E6D44">
        <w:rPr>
          <w:sz w:val="24"/>
          <w:szCs w:val="24"/>
        </w:rPr>
        <w:t xml:space="preserve">and used </w:t>
      </w:r>
      <w:r w:rsidRPr="00FD5112">
        <w:rPr>
          <w:i/>
          <w:sz w:val="24"/>
          <w:szCs w:val="24"/>
        </w:rPr>
        <w:t>as received</w:t>
      </w:r>
      <w:r w:rsidRPr="006E6D4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E6D44">
        <w:rPr>
          <w:sz w:val="24"/>
          <w:szCs w:val="24"/>
        </w:rPr>
        <w:t xml:space="preserve">Nafion™ 117 </w:t>
      </w:r>
      <w:r w:rsidR="00157C34">
        <w:rPr>
          <w:sz w:val="24"/>
          <w:szCs w:val="24"/>
        </w:rPr>
        <w:t xml:space="preserve">membrane </w:t>
      </w:r>
      <w:r w:rsidRPr="006E6D44">
        <w:rPr>
          <w:sz w:val="24"/>
          <w:szCs w:val="24"/>
        </w:rPr>
        <w:t>(product of DuPont) was pur</w:t>
      </w:r>
      <w:r>
        <w:rPr>
          <w:sz w:val="24"/>
          <w:szCs w:val="24"/>
        </w:rPr>
        <w:t>chased from FuelCellStore.com™</w:t>
      </w:r>
      <w:r w:rsidRPr="006E6D44">
        <w:rPr>
          <w:sz w:val="24"/>
          <w:szCs w:val="24"/>
        </w:rPr>
        <w:t xml:space="preserve">. </w:t>
      </w:r>
      <w:r w:rsidRPr="00AA2AB0">
        <w:rPr>
          <w:sz w:val="24"/>
          <w:szCs w:val="24"/>
        </w:rPr>
        <w:t>Gold foil</w:t>
      </w:r>
      <w:r w:rsidRPr="006E6D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from Gold-Hammer </w:t>
      </w:r>
      <w:r w:rsidRPr="006E6D44">
        <w:rPr>
          <w:sz w:val="24"/>
          <w:szCs w:val="24"/>
        </w:rPr>
        <w:t>(24-carat, 80x80 mm</w:t>
      </w:r>
      <w:r w:rsidRPr="006E6D44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 was used as</w:t>
      </w:r>
      <w:r w:rsidRPr="006E6D44">
        <w:rPr>
          <w:sz w:val="24"/>
          <w:szCs w:val="24"/>
        </w:rPr>
        <w:t xml:space="preserve"> contact material</w:t>
      </w:r>
      <w:r w:rsidR="00A21265">
        <w:rPr>
          <w:sz w:val="24"/>
          <w:szCs w:val="24"/>
        </w:rPr>
        <w:t xml:space="preserve"> on electrode surface</w:t>
      </w:r>
      <w:r w:rsidRPr="006E6D44">
        <w:rPr>
          <w:sz w:val="24"/>
          <w:szCs w:val="24"/>
        </w:rPr>
        <w:t xml:space="preserve">. </w:t>
      </w:r>
    </w:p>
    <w:p w:rsidR="0084675B" w:rsidRDefault="0084675B" w:rsidP="0084675B">
      <w:pPr>
        <w:jc w:val="both"/>
      </w:pPr>
    </w:p>
    <w:p w:rsidR="0084675B" w:rsidRPr="006E6D44" w:rsidRDefault="003C519E" w:rsidP="0084675B">
      <w:pPr>
        <w:jc w:val="both"/>
      </w:pPr>
      <w:r>
        <w:t>All</w:t>
      </w:r>
      <w:r w:rsidR="0084675B" w:rsidRPr="006E6D44">
        <w:t xml:space="preserve"> reagents were of analytical grade and used withou</w:t>
      </w:r>
      <w:r>
        <w:t xml:space="preserve">t further purification: </w:t>
      </w:r>
      <w:r w:rsidR="0084675B" w:rsidRPr="006E6D44">
        <w:t>1-</w:t>
      </w:r>
      <w:r w:rsidR="0084675B">
        <w:t>e</w:t>
      </w:r>
      <w:r w:rsidR="0084675B" w:rsidRPr="006E6D44">
        <w:t>thyl-3-methylimidaz</w:t>
      </w:r>
      <w:r w:rsidR="00157C34">
        <w:t>olium trifluoromethanesulfonate</w:t>
      </w:r>
      <w:r>
        <w:t xml:space="preserve"> (EMI-TF</w:t>
      </w:r>
      <w:r w:rsidR="00157C34">
        <w:t>, Fluka</w:t>
      </w:r>
      <w:r w:rsidR="0084675B" w:rsidRPr="006E6D44">
        <w:t>); lithium perchlorate (LiClO</w:t>
      </w:r>
      <w:r w:rsidR="0084675B" w:rsidRPr="006E6D44">
        <w:rPr>
          <w:vertAlign w:val="subscript"/>
        </w:rPr>
        <w:t>4</w:t>
      </w:r>
      <w:r w:rsidR="0084675B" w:rsidRPr="006E6D44">
        <w:t>, Fluka); 2-Propanol ((CH</w:t>
      </w:r>
      <w:r w:rsidR="0084675B" w:rsidRPr="006E6D44">
        <w:rPr>
          <w:vertAlign w:val="subscript"/>
        </w:rPr>
        <w:t>3</w:t>
      </w:r>
      <w:r w:rsidR="0084675B" w:rsidRPr="006E6D44">
        <w:t>)</w:t>
      </w:r>
      <w:r w:rsidR="0084675B" w:rsidRPr="006E6D44">
        <w:rPr>
          <w:vertAlign w:val="subscript"/>
        </w:rPr>
        <w:t>2</w:t>
      </w:r>
      <w:r w:rsidR="0084675B" w:rsidRPr="006E6D44">
        <w:t>CHOH, 99.9%, Sigma Aldrich); ethanol (CH</w:t>
      </w:r>
      <w:r w:rsidR="0084675B" w:rsidRPr="006E6D44">
        <w:rPr>
          <w:vertAlign w:val="subscript"/>
        </w:rPr>
        <w:t>3</w:t>
      </w:r>
      <w:r w:rsidR="0084675B" w:rsidRPr="006E6D44">
        <w:t>CH</w:t>
      </w:r>
      <w:r w:rsidR="0084675B" w:rsidRPr="006E6D44">
        <w:rPr>
          <w:vertAlign w:val="subscript"/>
        </w:rPr>
        <w:t>2</w:t>
      </w:r>
      <w:r w:rsidR="0084675B" w:rsidRPr="006E6D44">
        <w:t>OH, 96%, Sigma Aldrich); hydrochloric acid (HCl, 36%, Stanchem).</w:t>
      </w:r>
      <w:r w:rsidR="00157C34">
        <w:t xml:space="preserve"> All solutions were prepared using deionised water (18 MΩ ∙ cm)</w:t>
      </w:r>
    </w:p>
    <w:p w:rsidR="0084675B" w:rsidRDefault="0084675B" w:rsidP="0084675B">
      <w:pPr>
        <w:jc w:val="both"/>
      </w:pPr>
    </w:p>
    <w:p w:rsidR="0084675B" w:rsidRPr="006E6D44" w:rsidRDefault="0084675B" w:rsidP="0084675B">
      <w:pPr>
        <w:jc w:val="both"/>
      </w:pPr>
      <w:r>
        <w:t>The p</w:t>
      </w:r>
      <w:r w:rsidRPr="006E6D44">
        <w:t xml:space="preserve">hysical properties of electrode materials used are listed in Table 1. </w:t>
      </w:r>
    </w:p>
    <w:p w:rsidR="0084675B" w:rsidRDefault="0084675B" w:rsidP="0084675B">
      <w:pPr>
        <w:jc w:val="both"/>
        <w:rPr>
          <w:i/>
          <w:color w:val="000000"/>
        </w:rPr>
      </w:pPr>
    </w:p>
    <w:p w:rsidR="0084675B" w:rsidRDefault="0084675B" w:rsidP="0084675B">
      <w:pPr>
        <w:jc w:val="both"/>
        <w:rPr>
          <w:i/>
          <w:color w:val="000000"/>
        </w:rPr>
      </w:pPr>
      <w:r>
        <w:rPr>
          <w:i/>
          <w:color w:val="000000"/>
        </w:rPr>
        <w:t>2.2 Preparation of the IPMCs</w:t>
      </w:r>
    </w:p>
    <w:p w:rsidR="0084675B" w:rsidRDefault="0084675B" w:rsidP="0084675B">
      <w:pPr>
        <w:jc w:val="both"/>
        <w:rPr>
          <w:i/>
          <w:color w:val="000000"/>
        </w:rPr>
      </w:pPr>
    </w:p>
    <w:p w:rsidR="0084675B" w:rsidRDefault="0084675B" w:rsidP="0084675B">
      <w:pPr>
        <w:jc w:val="both"/>
      </w:pPr>
      <w:r>
        <w:t>B</w:t>
      </w:r>
      <w:r w:rsidRPr="006E6D44">
        <w:t>ar</w:t>
      </w:r>
      <w:r>
        <w:t>e Nafion™ 117 membrane was</w:t>
      </w:r>
      <w:r w:rsidRPr="006E6D44">
        <w:t xml:space="preserve"> pretreated by rough</w:t>
      </w:r>
      <w:r>
        <w:t>ening both sides with emery paper in order</w:t>
      </w:r>
      <w:r w:rsidRPr="006E6D44">
        <w:t xml:space="preserve"> to remove </w:t>
      </w:r>
      <w:r>
        <w:t xml:space="preserve">the </w:t>
      </w:r>
      <w:r w:rsidRPr="006E6D44">
        <w:t xml:space="preserve">outer polymer </w:t>
      </w:r>
      <w:r>
        <w:t>surface layer, which due to</w:t>
      </w:r>
      <w:r w:rsidRPr="006E6D44">
        <w:t xml:space="preserve"> </w:t>
      </w:r>
      <w:r>
        <w:t xml:space="preserve">its </w:t>
      </w:r>
      <w:r w:rsidRPr="006E6D44">
        <w:t>relatively</w:t>
      </w:r>
      <w:r>
        <w:t xml:space="preserve"> high</w:t>
      </w:r>
      <w:r w:rsidRPr="006E6D44">
        <w:t xml:space="preserve"> hydrophobic</w:t>
      </w:r>
      <w:r>
        <w:t>ity interacts weakly</w:t>
      </w:r>
      <w:r w:rsidRPr="006E6D44">
        <w:t xml:space="preserve"> with </w:t>
      </w:r>
      <w:r>
        <w:t xml:space="preserve">the </w:t>
      </w:r>
      <w:r w:rsidRPr="006E6D44">
        <w:t>solutions used further on. Rough</w:t>
      </w:r>
      <w:r>
        <w:t>en</w:t>
      </w:r>
      <w:r w:rsidRPr="006E6D44">
        <w:t xml:space="preserve">ing also enlarges </w:t>
      </w:r>
      <w:r>
        <w:t xml:space="preserve">the </w:t>
      </w:r>
      <w:r w:rsidRPr="006E6D44">
        <w:t>polym</w:t>
      </w:r>
      <w:r>
        <w:t>er-electrode interface area, thereby providing</w:t>
      </w:r>
      <w:r w:rsidRPr="006E6D44">
        <w:t xml:space="preserve"> better adhesion. Both sides of the membrane</w:t>
      </w:r>
      <w:r>
        <w:t>s</w:t>
      </w:r>
      <w:r w:rsidRPr="006E6D44">
        <w:t xml:space="preserve"> were roughed until the surface appeared t</w:t>
      </w:r>
      <w:r>
        <w:t>o be non-transparent</w:t>
      </w:r>
      <w:r w:rsidRPr="006E6D44">
        <w:t xml:space="preserve">, </w:t>
      </w:r>
      <w:r>
        <w:t xml:space="preserve">after which </w:t>
      </w:r>
      <w:r w:rsidRPr="006E6D44">
        <w:t>the membrane</w:t>
      </w:r>
      <w:r>
        <w:t>s were</w:t>
      </w:r>
      <w:r w:rsidRPr="006E6D44">
        <w:t xml:space="preserve"> washed by boiling in </w:t>
      </w:r>
      <w:smartTag w:uri="urn:schemas-microsoft-com:office:smarttags" w:element="metricconverter">
        <w:smartTagPr>
          <w:attr w:name="ProductID" w:val="1 M"/>
        </w:smartTagPr>
        <w:r w:rsidRPr="006E6D44">
          <w:t>1 M</w:t>
        </w:r>
      </w:smartTag>
      <w:r w:rsidRPr="006E6D44">
        <w:t xml:space="preserve"> hydrochloric acid for 30 minutes, followed by boiling in de-ionized water for 1 h to remove acid residuals.</w:t>
      </w:r>
    </w:p>
    <w:p w:rsidR="0084675B" w:rsidRPr="006E6D44" w:rsidRDefault="0084675B" w:rsidP="0084675B">
      <w:pPr>
        <w:jc w:val="both"/>
      </w:pPr>
      <w:r w:rsidRPr="006E6D44">
        <w:t xml:space="preserve"> </w:t>
      </w:r>
    </w:p>
    <w:p w:rsidR="0084675B" w:rsidRPr="006E6D44" w:rsidRDefault="0084675B" w:rsidP="0084675B">
      <w:pPr>
        <w:jc w:val="both"/>
      </w:pPr>
      <w:r>
        <w:t>In order to prevent</w:t>
      </w:r>
      <w:r w:rsidRPr="006E6D44">
        <w:t xml:space="preserve"> degradation of the ionomer during the relatively long drying procedure at elevated temperature</w:t>
      </w:r>
      <w:r w:rsidR="00210F9B">
        <w:rPr>
          <w:rStyle w:val="EndnoteReference"/>
        </w:rPr>
        <w:endnoteReference w:id="2"/>
      </w:r>
      <w:r>
        <w:t xml:space="preserve">, </w:t>
      </w:r>
      <w:r w:rsidRPr="006E6D44">
        <w:t>the membrane</w:t>
      </w:r>
      <w:r>
        <w:t>s were ion-exchanged by boiling for 2 h in</w:t>
      </w:r>
      <w:r w:rsidRPr="006E6D44">
        <w:t xml:space="preserve"> </w:t>
      </w:r>
      <w:r>
        <w:t xml:space="preserve">a </w:t>
      </w:r>
      <w:smartTag w:uri="urn:schemas-microsoft-com:office:smarttags" w:element="metricconverter">
        <w:smartTagPr>
          <w:attr w:name="ProductID" w:val="1 M"/>
        </w:smartTagPr>
        <w:r w:rsidRPr="006E6D44">
          <w:t>1 M</w:t>
        </w:r>
      </w:smartTag>
      <w:r w:rsidRPr="006E6D44">
        <w:t xml:space="preserve"> LiClO</w:t>
      </w:r>
      <w:r w:rsidRPr="006E6D44">
        <w:rPr>
          <w:vertAlign w:val="subscript"/>
        </w:rPr>
        <w:t>4</w:t>
      </w:r>
      <w:r>
        <w:t xml:space="preserve"> solution</w:t>
      </w:r>
      <w:r w:rsidRPr="006E6D44">
        <w:t>.</w:t>
      </w:r>
      <w:r>
        <w:t xml:space="preserve"> The</w:t>
      </w:r>
      <w:r w:rsidRPr="006E6D44">
        <w:t xml:space="preserve"> membrane</w:t>
      </w:r>
      <w:r>
        <w:t>s were then dried in vacuum</w:t>
      </w:r>
      <w:r w:rsidRPr="006E6D44">
        <w:t xml:space="preserve"> at 150</w:t>
      </w:r>
      <w:r w:rsidRPr="006E6D44">
        <w:rPr>
          <w:vertAlign w:val="superscript"/>
        </w:rPr>
        <w:t>o</w:t>
      </w:r>
      <w:r w:rsidRPr="006E6D44">
        <w:t xml:space="preserve"> C for 12 h. Thereafter</w:t>
      </w:r>
      <w:r>
        <w:t>, the membranes were</w:t>
      </w:r>
      <w:r w:rsidRPr="006E6D44">
        <w:t xml:space="preserve"> instantly immersed in neat ionic liquid (Emi-Tf) and heated for 5 h at 150</w:t>
      </w:r>
      <w:r w:rsidRPr="006E6D44">
        <w:rPr>
          <w:vertAlign w:val="superscript"/>
        </w:rPr>
        <w:t>o</w:t>
      </w:r>
      <w:r>
        <w:t xml:space="preserve"> C. Afterwards, the uptake of</w:t>
      </w:r>
      <w:r w:rsidRPr="006E6D44">
        <w:t xml:space="preserve"> E</w:t>
      </w:r>
      <w:r>
        <w:t>mi-Tf is expected be near 60% of</w:t>
      </w:r>
      <w:r w:rsidRPr="006E6D44">
        <w:t xml:space="preserve"> the dry weight of the membrane</w:t>
      </w:r>
      <w:r w:rsidR="00210F9B">
        <w:rPr>
          <w:rStyle w:val="EndnoteReference"/>
        </w:rPr>
        <w:endnoteReference w:id="3"/>
      </w:r>
      <w:r w:rsidRPr="006E6D44">
        <w:t xml:space="preserve">. </w:t>
      </w:r>
    </w:p>
    <w:p w:rsidR="0084675B" w:rsidRDefault="0084675B" w:rsidP="0084675B">
      <w:pPr>
        <w:jc w:val="both"/>
      </w:pPr>
    </w:p>
    <w:p w:rsidR="0084675B" w:rsidRPr="006E6D44" w:rsidRDefault="0084675B" w:rsidP="0084675B">
      <w:pPr>
        <w:jc w:val="both"/>
      </w:pPr>
      <w:r>
        <w:t>T</w:t>
      </w:r>
      <w:r w:rsidRPr="006E6D44">
        <w:t>he electrodes were</w:t>
      </w:r>
      <w:r>
        <w:t xml:space="preserve"> applied to the membrane using DAP</w:t>
      </w:r>
      <w:r w:rsidR="00210F9B">
        <w:rPr>
          <w:rStyle w:val="EndnoteReference"/>
        </w:rPr>
        <w:endnoteReference w:id="4"/>
      </w:r>
      <w:r>
        <w:t xml:space="preserve">; </w:t>
      </w:r>
      <w:r>
        <w:rPr>
          <w:i/>
        </w:rPr>
        <w:t>i.e.,</w:t>
      </w:r>
      <w:r>
        <w:t xml:space="preserve"> a</w:t>
      </w:r>
      <w:r w:rsidRPr="006E6D44">
        <w:t xml:space="preserve"> conductive powder with high specific area was mixed with an ionomer solution and painted directly on the diluent-swollen membrane and sandwiched between two gold foils followed by hot-pre</w:t>
      </w:r>
      <w:r>
        <w:t>ssing</w:t>
      </w:r>
      <w:r w:rsidRPr="006E6D44">
        <w:t>.</w:t>
      </w:r>
      <w:r>
        <w:t xml:space="preserve"> A</w:t>
      </w:r>
      <w:r w:rsidRPr="006E6D44">
        <w:t xml:space="preserve"> 5 wt% Nafion 1110 dispersion was prepa</w:t>
      </w:r>
      <w:r>
        <w:t>red by heating the</w:t>
      </w:r>
      <w:r w:rsidRPr="006E6D44">
        <w:t xml:space="preserve"> ionomer in </w:t>
      </w:r>
      <w:r>
        <w:t xml:space="preserve">an </w:t>
      </w:r>
      <w:r w:rsidRPr="006E6D44">
        <w:t>autoclave for 3 h at 210</w:t>
      </w:r>
      <w:r w:rsidRPr="006E6D44">
        <w:rPr>
          <w:vertAlign w:val="superscript"/>
        </w:rPr>
        <w:t>o</w:t>
      </w:r>
      <w:r w:rsidRPr="006E6D44">
        <w:t xml:space="preserve"> C under continuous stirring in the presence of </w:t>
      </w:r>
      <w:r>
        <w:t xml:space="preserve">a </w:t>
      </w:r>
      <w:r w:rsidRPr="006E6D44">
        <w:t xml:space="preserve">50% ethanol/water solution. </w:t>
      </w:r>
      <w:r>
        <w:t>Thereafter,</w:t>
      </w:r>
      <w:r w:rsidRPr="006E6D44">
        <w:t xml:space="preserve"> the ionomer </w:t>
      </w:r>
      <w:r w:rsidRPr="006E6D44">
        <w:lastRenderedPageBreak/>
        <w:t>dispersion was mixed with conductive powder. For RuO</w:t>
      </w:r>
      <w:r w:rsidRPr="006E6D44">
        <w:rPr>
          <w:vertAlign w:val="subscript"/>
        </w:rPr>
        <w:t>2</w:t>
      </w:r>
      <w:r w:rsidRPr="006E6D44">
        <w:t xml:space="preserve"> electrodes</w:t>
      </w:r>
      <w:r>
        <w:t>,</w:t>
      </w:r>
      <w:r w:rsidRPr="006E6D44">
        <w:t xml:space="preserve"> the mixture was prepared containing of 6 wt% ruthenium (IV) oxide powder, 47</w:t>
      </w:r>
      <w:r>
        <w:t xml:space="preserve"> wt</w:t>
      </w:r>
      <w:r w:rsidRPr="006E6D44">
        <w:t>% of Nafion solution (5%) and 47</w:t>
      </w:r>
      <w:r>
        <w:t xml:space="preserve"> wt</w:t>
      </w:r>
      <w:r w:rsidRPr="006E6D44">
        <w:t xml:space="preserve">% of isopropanol. </w:t>
      </w:r>
      <w:r>
        <w:t>The m</w:t>
      </w:r>
      <w:r w:rsidRPr="006E6D44">
        <w:t>ixture for carbon electrodes was adjusted to contain 1.7 wt% of carbon powder, 48.3</w:t>
      </w:r>
      <w:r>
        <w:t xml:space="preserve"> wt</w:t>
      </w:r>
      <w:r w:rsidRPr="006E6D44">
        <w:t xml:space="preserve">% of Nafion solution </w:t>
      </w:r>
      <w:r>
        <w:t>and 50 wt% of isopropanol. All</w:t>
      </w:r>
      <w:r w:rsidRPr="006E6D44">
        <w:t xml:space="preserve"> mixtures were then sonicated for 1 to 3 h to disperse </w:t>
      </w:r>
      <w:r>
        <w:t xml:space="preserve">the </w:t>
      </w:r>
      <w:r w:rsidRPr="006E6D44">
        <w:t>conducti</w:t>
      </w:r>
      <w:r>
        <w:t xml:space="preserve">ve powder particles. </w:t>
      </w:r>
    </w:p>
    <w:p w:rsidR="0084675B" w:rsidRDefault="0084675B" w:rsidP="0084675B">
      <w:pPr>
        <w:jc w:val="both"/>
      </w:pPr>
    </w:p>
    <w:p w:rsidR="0084675B" w:rsidRPr="006E6D44" w:rsidRDefault="0084675B" w:rsidP="0084675B">
      <w:pPr>
        <w:jc w:val="both"/>
      </w:pPr>
      <w:r w:rsidRPr="006E6D44">
        <w:t>The conductor/ionom</w:t>
      </w:r>
      <w:r w:rsidRPr="00AA2AB0">
        <w:t>er mixtures were applied to the membrane using an SB-1107 Sumake airbrush op</w:t>
      </w:r>
      <w:r w:rsidRPr="006E6D44">
        <w:t>erated by comp</w:t>
      </w:r>
      <w:r>
        <w:t>ressed-air</w:t>
      </w:r>
      <w:r w:rsidRPr="006E6D44">
        <w:t xml:space="preserve">. Volatile solvents were removed under </w:t>
      </w:r>
      <w:r>
        <w:t xml:space="preserve">an </w:t>
      </w:r>
      <w:r w:rsidRPr="00AA2AB0">
        <w:t>infrared lamp (</w:t>
      </w:r>
      <w:r>
        <w:t>150 W, Philips) after</w:t>
      </w:r>
      <w:r w:rsidRPr="006E6D44">
        <w:t xml:space="preserve"> application </w:t>
      </w:r>
      <w:r w:rsidR="00D5052E">
        <w:t>of each layer. Typically 8 to 15</w:t>
      </w:r>
      <w:r w:rsidRPr="006E6D44">
        <w:t xml:space="preserve"> layers of the conductor/ion</w:t>
      </w:r>
      <w:r>
        <w:t>omer mixture were sprayed on each</w:t>
      </w:r>
      <w:r w:rsidRPr="006E6D44">
        <w:t xml:space="preserve"> membrane</w:t>
      </w:r>
      <w:r>
        <w:t xml:space="preserve"> to achieve uniform thicknesses – the RuO</w:t>
      </w:r>
      <w:r>
        <w:rPr>
          <w:vertAlign w:val="subscript"/>
        </w:rPr>
        <w:t xml:space="preserve">2 </w:t>
      </w:r>
      <w:r>
        <w:t>solutions had higher viscosity than the carbon based, therefore resulting in better covering. After painting on the electrodes</w:t>
      </w:r>
      <w:r w:rsidRPr="006E6D44">
        <w:t xml:space="preserve">, a layer of 5% Nafion solution was applied </w:t>
      </w:r>
      <w:r>
        <w:t>on</w:t>
      </w:r>
      <w:r w:rsidRPr="006E6D44">
        <w:t xml:space="preserve">to the sprayed electrode to provide better </w:t>
      </w:r>
      <w:r>
        <w:t>surface adhesiveness to the</w:t>
      </w:r>
      <w:r w:rsidRPr="006E6D44">
        <w:t xml:space="preserve"> gold foil. Thereafter, the membrane</w:t>
      </w:r>
      <w:r>
        <w:t>s were placed under IR</w:t>
      </w:r>
      <w:r w:rsidRPr="006E6D44">
        <w:t xml:space="preserve"> </w:t>
      </w:r>
      <w:r>
        <w:t xml:space="preserve">light </w:t>
      </w:r>
      <w:r w:rsidRPr="006E6D44">
        <w:t xml:space="preserve">for </w:t>
      </w:r>
      <w:r>
        <w:t xml:space="preserve">an </w:t>
      </w:r>
      <w:r w:rsidRPr="006E6D44">
        <w:t>additional 15 minute</w:t>
      </w:r>
      <w:r>
        <w:t>s</w:t>
      </w:r>
      <w:r w:rsidRPr="006E6D44">
        <w:t>.</w:t>
      </w:r>
      <w:r>
        <w:t xml:space="preserve"> </w:t>
      </w:r>
      <w:r w:rsidRPr="006E6D44">
        <w:t>Finally, the membrane</w:t>
      </w:r>
      <w:r>
        <w:t>s were</w:t>
      </w:r>
      <w:r w:rsidRPr="006E6D44">
        <w:t xml:space="preserve"> sandwiched between two gold foils (270 nm thick) and fused</w:t>
      </w:r>
      <w:r w:rsidR="00D5052E">
        <w:t xml:space="preserve"> together by hot-pressing at 150</w:t>
      </w:r>
      <w:r w:rsidRPr="006E6D44">
        <w:rPr>
          <w:vertAlign w:val="superscript"/>
        </w:rPr>
        <w:t>o</w:t>
      </w:r>
      <w:r>
        <w:t xml:space="preserve"> C under</w:t>
      </w:r>
      <w:r w:rsidR="00D5052E">
        <w:t xml:space="preserve"> 3.5</w:t>
      </w:r>
      <w:r>
        <w:t xml:space="preserve"> MPa for 5-</w:t>
      </w:r>
      <w:r w:rsidR="00D5052E">
        <w:t>10</w:t>
      </w:r>
      <w:r>
        <w:t xml:space="preserve"> s. This</w:t>
      </w:r>
      <w:r w:rsidRPr="006E6D44">
        <w:t xml:space="preserve"> decreases the surface resistance of painted layers t</w:t>
      </w:r>
      <w:r>
        <w:t>o less than 1 Ω/cm, according to measurements.</w:t>
      </w:r>
    </w:p>
    <w:p w:rsidR="0084675B" w:rsidRDefault="0084675B" w:rsidP="0084675B">
      <w:pPr>
        <w:jc w:val="both"/>
      </w:pPr>
    </w:p>
    <w:p w:rsidR="0084675B" w:rsidRPr="006E6D44" w:rsidRDefault="0084675B" w:rsidP="0084675B">
      <w:pPr>
        <w:jc w:val="both"/>
      </w:pPr>
      <w:r>
        <w:t>By this</w:t>
      </w:r>
      <w:r w:rsidRPr="006E6D44">
        <w:t xml:space="preserve"> process, </w:t>
      </w:r>
      <w:r w:rsidRPr="000D4388">
        <w:t>four sets of samples</w:t>
      </w:r>
      <w:r w:rsidRPr="006E6D44">
        <w:t xml:space="preserve"> </w:t>
      </w:r>
      <w:r>
        <w:t xml:space="preserve">with three membranes in each set </w:t>
      </w:r>
      <w:r w:rsidRPr="006E6D44">
        <w:t>were prepared wit</w:t>
      </w:r>
      <w:r>
        <w:t>h different electrode</w:t>
      </w:r>
      <w:r w:rsidRPr="006E6D44">
        <w:t xml:space="preserve"> materials: TiC derived carbon</w:t>
      </w:r>
      <w:r>
        <w:t xml:space="preserve"> (here referred to as carbon (1))</w:t>
      </w:r>
      <w:r w:rsidRPr="006E6D44">
        <w:t>, coconut shell based activated carbon</w:t>
      </w:r>
      <w:r>
        <w:t xml:space="preserve"> (carbon (2))</w:t>
      </w:r>
      <w:r w:rsidRPr="006E6D44">
        <w:t xml:space="preserve">, </w:t>
      </w:r>
      <w:r>
        <w:t>an</w:t>
      </w:r>
      <w:r w:rsidRPr="006E6D44">
        <w:t>hydrous RuO</w:t>
      </w:r>
      <w:r w:rsidRPr="006E6D44">
        <w:rPr>
          <w:vertAlign w:val="subscript"/>
        </w:rPr>
        <w:t>2</w:t>
      </w:r>
      <w:r w:rsidRPr="006E6D44">
        <w:t xml:space="preserve"> </w:t>
      </w:r>
      <w:r>
        <w:t xml:space="preserve">(1) and </w:t>
      </w:r>
      <w:r w:rsidRPr="006E6D44">
        <w:t>hydrous RuO</w:t>
      </w:r>
      <w:r w:rsidRPr="006E6D44">
        <w:rPr>
          <w:vertAlign w:val="subscript"/>
        </w:rPr>
        <w:t>2</w:t>
      </w:r>
      <w:r>
        <w:t xml:space="preserve"> (2). All samples were </w:t>
      </w:r>
      <w:smartTag w:uri="urn:schemas-microsoft-com:office:smarttags" w:element="metricconverter">
        <w:smartTagPr>
          <w:attr w:name="ProductID" w:val="40 mm"/>
        </w:smartTagPr>
        <w:r>
          <w:t>40 mm</w:t>
        </w:r>
      </w:smartTag>
      <w:r>
        <w:t xml:space="preserve"> in length × </w:t>
      </w:r>
      <w:smartTag w:uri="urn:schemas-microsoft-com:office:smarttags" w:element="metricconverter">
        <w:smartTagPr>
          <w:attr w:name="ProductID" w:val="8 mm"/>
        </w:smartTagPr>
        <w:r>
          <w:t>8 mm</w:t>
        </w:r>
      </w:smartTag>
      <w:r>
        <w:t xml:space="preserve"> in width.</w:t>
      </w:r>
    </w:p>
    <w:p w:rsidR="0084675B" w:rsidRDefault="0084675B" w:rsidP="0084675B">
      <w:pPr>
        <w:jc w:val="both"/>
        <w:rPr>
          <w:i/>
          <w:color w:val="000000"/>
        </w:rPr>
      </w:pPr>
    </w:p>
    <w:p w:rsidR="0084675B" w:rsidRDefault="0084675B" w:rsidP="0084675B">
      <w:pPr>
        <w:jc w:val="both"/>
        <w:rPr>
          <w:i/>
          <w:color w:val="000000"/>
        </w:rPr>
      </w:pPr>
      <w:r>
        <w:rPr>
          <w:i/>
          <w:color w:val="000000"/>
        </w:rPr>
        <w:t>2.3 Electromechanical Characterization</w:t>
      </w:r>
    </w:p>
    <w:p w:rsidR="0084675B" w:rsidRPr="00D052EF" w:rsidRDefault="0084675B" w:rsidP="0084675B">
      <w:pPr>
        <w:jc w:val="both"/>
        <w:rPr>
          <w:i/>
          <w:color w:val="000000"/>
        </w:rPr>
      </w:pPr>
    </w:p>
    <w:p w:rsidR="0084675B" w:rsidRPr="007D1DF1" w:rsidRDefault="0084675B" w:rsidP="0084675B">
      <w:pPr>
        <w:jc w:val="both"/>
      </w:pPr>
      <w:r w:rsidRPr="007D1DF1">
        <w:t>For electromech</w:t>
      </w:r>
      <w:r>
        <w:t>anical characterization,</w:t>
      </w:r>
      <w:r w:rsidRPr="007D1DF1">
        <w:t xml:space="preserve"> the experimental </w:t>
      </w:r>
      <w:r>
        <w:t>setup described in [26] was used. A</w:t>
      </w:r>
      <w:r w:rsidRPr="007D1DF1">
        <w:t xml:space="preserve"> National Instruments PCI-6034 DAQ with </w:t>
      </w:r>
      <w:r>
        <w:t xml:space="preserve">an </w:t>
      </w:r>
      <w:r w:rsidRPr="007D1DF1">
        <w:t xml:space="preserve">SCC-RTD01 module </w:t>
      </w:r>
      <w:r>
        <w:t xml:space="preserve">was used </w:t>
      </w:r>
      <w:r w:rsidRPr="007D1DF1">
        <w:t>to measure the resistances of the surface</w:t>
      </w:r>
      <w:r>
        <w:t>s</w:t>
      </w:r>
      <w:r w:rsidRPr="007D1DF1">
        <w:t xml:space="preserve"> using </w:t>
      </w:r>
      <w:r>
        <w:t>a</w:t>
      </w:r>
      <w:r w:rsidRPr="007D1DF1">
        <w:t xml:space="preserve"> four-probe system. This method eliminates inexactnesses caused by the inconsistent current density and the resistances of the contacts. The SCC-RTD01 is a dual-channel resistance-temperature detector (RTD) module that accepts 2, 3, or 4-wire RTDs. Each channel of the SCC-RTD01 has an amplifier with a gain of 25 and a 30 Hz lowpass filter. In addition, the module has a 1 mA excitation source for powering the RTDs.</w:t>
      </w:r>
      <w:r>
        <w:t xml:space="preserve"> The range of the module allows</w:t>
      </w:r>
      <w:r w:rsidRPr="007D1DF1">
        <w:t xml:space="preserve"> </w:t>
      </w:r>
      <w:r>
        <w:t>reliable</w:t>
      </w:r>
      <w:r w:rsidRPr="007D1DF1">
        <w:t xml:space="preserve"> measure</w:t>
      </w:r>
      <w:r>
        <w:t>ment of</w:t>
      </w:r>
      <w:r w:rsidRPr="007D1DF1">
        <w:t xml:space="preserve"> resistances from 0 to 200 </w:t>
      </w:r>
      <w:r>
        <w:t>Ω</w:t>
      </w:r>
      <w:r w:rsidRPr="007D1DF1">
        <w:t>. In order to connect the four probes simultaneously to the IPMC strip, a special fl</w:t>
      </w:r>
      <w:r>
        <w:t>exible contact strip was made b</w:t>
      </w:r>
      <w:r w:rsidRPr="007D1DF1">
        <w:t>y fixing four contacts made of gold foil onto the surface of a thin ribbon of PTFE. The distance betwe</w:t>
      </w:r>
      <w:r>
        <w:t>en the test-contacts was kept at</w:t>
      </w:r>
      <w:r w:rsidRPr="007D1DF1">
        <w:t xml:space="preserve"> </w:t>
      </w:r>
      <w:smartTag w:uri="urn:schemas-microsoft-com:office:smarttags" w:element="metricconverter">
        <w:smartTagPr>
          <w:attr w:name="ProductID" w:val="21 mm"/>
        </w:smartTagPr>
        <w:r w:rsidRPr="007D1DF1">
          <w:t>21 mm</w:t>
        </w:r>
      </w:smartTag>
      <w:r w:rsidRPr="007D1DF1">
        <w:t>.</w:t>
      </w:r>
    </w:p>
    <w:p w:rsidR="0084675B" w:rsidRDefault="0084675B" w:rsidP="0084675B">
      <w:pPr>
        <w:jc w:val="both"/>
        <w:rPr>
          <w:b/>
          <w:color w:val="000000"/>
        </w:rPr>
      </w:pPr>
    </w:p>
    <w:p w:rsidR="0084675B" w:rsidRDefault="0084675B" w:rsidP="0084675B">
      <w:pPr>
        <w:jc w:val="both"/>
      </w:pPr>
      <w:r>
        <w:t>A</w:t>
      </w:r>
      <w:r w:rsidRPr="007D1DF1">
        <w:t xml:space="preserve"> schema</w:t>
      </w:r>
      <w:r>
        <w:t>tic of the experimental setup for</w:t>
      </w:r>
      <w:r w:rsidRPr="007D1DF1">
        <w:t xml:space="preserve"> the characterization of the</w:t>
      </w:r>
      <w:r>
        <w:t xml:space="preserve"> actuator</w:t>
      </w:r>
      <w:r w:rsidRPr="007D1DF1">
        <w:t xml:space="preserve"> </w:t>
      </w:r>
      <w:r>
        <w:t xml:space="preserve">strain and speed </w:t>
      </w:r>
      <w:r w:rsidRPr="007D1DF1">
        <w:t>is shown in</w:t>
      </w:r>
      <w:r>
        <w:t xml:space="preserve"> Figure 1. The</w:t>
      </w:r>
      <w:r w:rsidRPr="007D1DF1">
        <w:t xml:space="preserve"> actuator</w:t>
      </w:r>
      <w:r>
        <w:t>s were</w:t>
      </w:r>
      <w:r w:rsidRPr="007D1DF1">
        <w:t xml:space="preserve"> clamped in vertical cantilever position and measurements were don</w:t>
      </w:r>
      <w:r>
        <w:t>e in the dry state in air. R</w:t>
      </w:r>
      <w:r w:rsidRPr="007D1DF1">
        <w:t>ectangular or sinusoidal driving pul</w:t>
      </w:r>
      <w:r>
        <w:t>ses were applied</w:t>
      </w:r>
      <w:r w:rsidRPr="007D1DF1">
        <w:t xml:space="preserve"> via a fixed</w:t>
      </w:r>
      <w:r>
        <w:t xml:space="preserve"> contact U and a ground contact</w:t>
      </w:r>
      <w:r w:rsidRPr="007D1DF1">
        <w:t xml:space="preserve"> made of gold. The measurements were conducted with National Instruments LabView7 control software. The driving voltage was generated by </w:t>
      </w:r>
      <w:r>
        <w:t xml:space="preserve">a </w:t>
      </w:r>
      <w:r w:rsidRPr="007D1DF1">
        <w:t>NI PCI-6703 DAQ board and amplified</w:t>
      </w:r>
      <w:r>
        <w:t xml:space="preserve"> by electric current from a</w:t>
      </w:r>
      <w:r w:rsidRPr="007D1DF1">
        <w:t xml:space="preserve"> NS LM675 power op-amp. The voltages with respect to the ground were me</w:t>
      </w:r>
      <w:r>
        <w:t>asured with a NI</w:t>
      </w:r>
      <w:r w:rsidRPr="007D1DF1">
        <w:t xml:space="preserve"> PCI-6034 DAQ board. One input contact of the IPMC sample was also connected to the ground. The electric input current of the sample was measured as a voltage drop over the resistor R. The value of the resistor should be </w:t>
      </w:r>
      <w:r w:rsidRPr="007D1DF1">
        <w:lastRenderedPageBreak/>
        <w:t>chosen as low as possible, but still sufficiently high with respect to the value of the current and the sensitivity of the measuring equipment. In the course of the experimen</w:t>
      </w:r>
      <w:r>
        <w:t>ts described here</w:t>
      </w:r>
      <w:r w:rsidRPr="007D1DF1">
        <w:t>, the value of the resistor R was 0.5-1 Ω. Electric current</w:t>
      </w:r>
      <w:r>
        <w:t xml:space="preserve"> was calculated according to</w:t>
      </w:r>
      <w:r w:rsidRPr="007D1DF1">
        <w:t xml:space="preserve"> Ohm’s law.</w:t>
      </w:r>
    </w:p>
    <w:p w:rsidR="0084675B" w:rsidRPr="007D1DF1" w:rsidRDefault="0084675B" w:rsidP="0084675B">
      <w:pPr>
        <w:jc w:val="both"/>
      </w:pPr>
    </w:p>
    <w:p w:rsidR="0084675B" w:rsidRDefault="0084675B" w:rsidP="0084675B">
      <w:pPr>
        <w:jc w:val="both"/>
      </w:pPr>
      <w:r w:rsidRPr="007D1DF1">
        <w:t>The bending motions of the</w:t>
      </w:r>
      <w:r>
        <w:t xml:space="preserve"> actuator were recorded with</w:t>
      </w:r>
      <w:r w:rsidRPr="007D1DF1">
        <w:t xml:space="preserve"> a firewire camera</w:t>
      </w:r>
      <w:r>
        <w:t>,</w:t>
      </w:r>
      <w:r w:rsidRPr="007D1DF1">
        <w:t xml:space="preserve"> Dragonfly Express from Point Grey Researc</w:t>
      </w:r>
      <w:r>
        <w:t>h Inc., recording images at</w:t>
      </w:r>
      <w:r w:rsidRPr="007D1DF1">
        <w:t xml:space="preserve"> 30 frames per second. The direction of the camera was set transverse to the actuator and the experiment was illuminated from the background through a fro</w:t>
      </w:r>
      <w:r>
        <w:t>sted glass and a graph paper. In this camera position,</w:t>
      </w:r>
      <w:r w:rsidRPr="007D1DF1">
        <w:t xml:space="preserve"> the </w:t>
      </w:r>
      <w:r>
        <w:t xml:space="preserve">recorded </w:t>
      </w:r>
      <w:r w:rsidRPr="007D1DF1">
        <w:t xml:space="preserve">image of the </w:t>
      </w:r>
      <w:r>
        <w:t xml:space="preserve">actuator </w:t>
      </w:r>
      <w:r w:rsidRPr="007D1DF1">
        <w:t xml:space="preserve">consists of a single curved contrast line. </w:t>
      </w:r>
    </w:p>
    <w:p w:rsidR="0084675B" w:rsidRDefault="0084675B" w:rsidP="0084675B">
      <w:pPr>
        <w:jc w:val="both"/>
      </w:pPr>
    </w:p>
    <w:p w:rsidR="0084675B" w:rsidRDefault="0084675B" w:rsidP="0084675B">
      <w:pPr>
        <w:jc w:val="both"/>
      </w:pPr>
      <w:r>
        <w:t>The resistances (conductivities) of both electrodes were measured using a four-probe system. The values of the shunt conductivity parameters were determined using impedance spectroscopy with variable-voltage step pulses as described in [27]. Blocking force was measured at zero displacement using the Panlab MLT0202 load cell. Sample stiffness was determined by a 3-point bending test [28].</w:t>
      </w:r>
    </w:p>
    <w:p w:rsidR="0084675B" w:rsidRDefault="0084675B" w:rsidP="0084675B"/>
    <w:p w:rsidR="0084675B" w:rsidRDefault="0084675B" w:rsidP="0084675B">
      <w:pPr>
        <w:jc w:val="both"/>
        <w:rPr>
          <w:b/>
          <w:color w:val="000000"/>
        </w:rPr>
      </w:pPr>
    </w:p>
    <w:p w:rsidR="0084675B" w:rsidRPr="007D0174" w:rsidRDefault="0084675B" w:rsidP="0084675B">
      <w:pPr>
        <w:jc w:val="both"/>
        <w:rPr>
          <w:i/>
          <w:color w:val="000000"/>
        </w:rPr>
      </w:pPr>
      <w:r>
        <w:rPr>
          <w:i/>
          <w:color w:val="000000"/>
        </w:rPr>
        <w:t>2.4 Scanning electron microscopy</w:t>
      </w:r>
    </w:p>
    <w:p w:rsidR="007E2822" w:rsidRDefault="0084675B" w:rsidP="0084675B">
      <w:r>
        <w:t>S</w:t>
      </w:r>
      <w:r w:rsidRPr="007D1DF1">
        <w:t xml:space="preserve">canning electron micrographs were obtained </w:t>
      </w:r>
      <w:r>
        <w:t xml:space="preserve">on all samples </w:t>
      </w:r>
      <w:r w:rsidRPr="007D1DF1">
        <w:t>using a Hitachi Tabletop Microscope TM-</w:t>
      </w:r>
      <w:smartTag w:uri="urn:schemas-microsoft-com:office:smarttags" w:element="metricconverter">
        <w:smartTagPr>
          <w:attr w:name="ProductID" w:val="1000 in"/>
        </w:smartTagPr>
        <w:r w:rsidRPr="007D1DF1">
          <w:t>1000 in</w:t>
        </w:r>
      </w:smartTag>
      <w:r w:rsidRPr="007D1DF1">
        <w:t xml:space="preserve"> standard backscattered electron (BSE) image mode with 15 keV primary electron energy.</w:t>
      </w:r>
    </w:p>
    <w:p w:rsidR="007E2822" w:rsidRDefault="007E2822" w:rsidP="0084675B"/>
    <w:p w:rsidR="007E2822" w:rsidRDefault="007E2822" w:rsidP="0084675B"/>
    <w:p w:rsidR="006A700F" w:rsidRDefault="007E2822" w:rsidP="0084675B">
      <w:r>
        <w:rPr>
          <w:b/>
          <w:color w:val="000000"/>
        </w:rPr>
        <w:t>3. Results and discussion</w:t>
      </w:r>
      <w:r>
        <w:t xml:space="preserve"> </w:t>
      </w:r>
    </w:p>
    <w:p w:rsidR="006A700F" w:rsidRDefault="006A700F" w:rsidP="0084675B"/>
    <w:p w:rsidR="006A700F" w:rsidRDefault="006A700F" w:rsidP="0084675B"/>
    <w:p w:rsidR="007E2822" w:rsidRDefault="007E2822" w:rsidP="0084675B"/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3"/>
        <w:gridCol w:w="1470"/>
        <w:gridCol w:w="1471"/>
        <w:gridCol w:w="1471"/>
        <w:gridCol w:w="1471"/>
        <w:gridCol w:w="1471"/>
        <w:gridCol w:w="1471"/>
      </w:tblGrid>
      <w:tr w:rsidR="006A700F" w:rsidRPr="007D1DF1" w:rsidTr="0035512B">
        <w:trPr>
          <w:trHeight w:val="510"/>
        </w:trPr>
        <w:tc>
          <w:tcPr>
            <w:tcW w:w="127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Electrode material</w:t>
            </w:r>
          </w:p>
        </w:tc>
        <w:tc>
          <w:tcPr>
            <w:tcW w:w="147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b/>
                <w:bCs/>
                <w:lang w:val="en-GB"/>
              </w:rPr>
            </w:pPr>
            <w:r w:rsidRPr="007D1DF1">
              <w:rPr>
                <w:b/>
                <w:bCs/>
                <w:lang w:val="en-GB"/>
              </w:rPr>
              <w:t>Max</w:t>
            </w:r>
            <w:r>
              <w:rPr>
                <w:b/>
                <w:bCs/>
                <w:lang w:val="en-GB"/>
              </w:rPr>
              <w:t>imum</w:t>
            </w:r>
            <w:r w:rsidRPr="007D1DF1">
              <w:rPr>
                <w:b/>
                <w:bCs/>
                <w:lang w:val="en-GB"/>
              </w:rPr>
              <w:t xml:space="preserve"> peak-to-peak stain (m</w:t>
            </w:r>
            <w:r>
              <w:rPr>
                <w:b/>
                <w:bCs/>
                <w:lang w:val="en-GB"/>
              </w:rPr>
              <w:t>ε</w:t>
            </w:r>
            <w:r w:rsidRPr="007D1DF1">
              <w:rPr>
                <w:b/>
                <w:bCs/>
                <w:lang w:val="en-GB"/>
              </w:rPr>
              <w:t>)</w:t>
            </w:r>
          </w:p>
        </w:tc>
        <w:tc>
          <w:tcPr>
            <w:tcW w:w="147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b/>
                <w:bCs/>
                <w:lang w:val="en-GB"/>
              </w:rPr>
            </w:pPr>
            <w:r w:rsidRPr="007D1DF1">
              <w:rPr>
                <w:b/>
                <w:bCs/>
                <w:lang w:val="en-GB"/>
              </w:rPr>
              <w:t>Max</w:t>
            </w:r>
            <w:r>
              <w:rPr>
                <w:b/>
                <w:bCs/>
                <w:lang w:val="en-GB"/>
              </w:rPr>
              <w:t>imum</w:t>
            </w:r>
            <w:r w:rsidRPr="007D1DF1">
              <w:rPr>
                <w:b/>
                <w:bCs/>
                <w:lang w:val="en-GB"/>
              </w:rPr>
              <w:t xml:space="preserve"> strain rate (m</w:t>
            </w:r>
            <w:r>
              <w:rPr>
                <w:b/>
                <w:bCs/>
                <w:lang w:val="en-GB"/>
              </w:rPr>
              <w:t>ε</w:t>
            </w:r>
            <w:r w:rsidRPr="007D1DF1">
              <w:rPr>
                <w:b/>
                <w:bCs/>
                <w:lang w:val="en-GB"/>
              </w:rPr>
              <w:t>/s)</w:t>
            </w:r>
          </w:p>
        </w:tc>
        <w:tc>
          <w:tcPr>
            <w:tcW w:w="147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b/>
                <w:bCs/>
                <w:lang w:val="en-GB"/>
              </w:rPr>
            </w:pPr>
            <w:r w:rsidRPr="007D1DF1">
              <w:rPr>
                <w:b/>
                <w:bCs/>
                <w:lang w:val="en-GB"/>
              </w:rPr>
              <w:t>Capacitance (mF/cm</w:t>
            </w:r>
            <w:r w:rsidRPr="005742A2">
              <w:rPr>
                <w:b/>
                <w:bCs/>
                <w:vertAlign w:val="superscript"/>
                <w:lang w:val="en-GB"/>
              </w:rPr>
              <w:t>2</w:t>
            </w:r>
            <w:r w:rsidRPr="007D1DF1">
              <w:rPr>
                <w:b/>
                <w:bCs/>
                <w:lang w:val="en-GB"/>
              </w:rPr>
              <w:t>)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6A700F" w:rsidRPr="007D1DF1" w:rsidRDefault="006A700F" w:rsidP="0035512B">
            <w:pPr>
              <w:jc w:val="center"/>
              <w:rPr>
                <w:b/>
                <w:lang w:val="en-GB"/>
              </w:rPr>
            </w:pPr>
            <w:r w:rsidRPr="007D1DF1">
              <w:rPr>
                <w:b/>
                <w:lang w:val="en-GB"/>
              </w:rPr>
              <w:t>Electrode surface resistance (Ω/cm)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00F" w:rsidRPr="007D1DF1" w:rsidRDefault="006A700F" w:rsidP="0035512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Blocking force (mN)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00F" w:rsidRPr="007D1DF1" w:rsidRDefault="006A700F" w:rsidP="0035512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Stiffness (MPa)</w:t>
            </w:r>
          </w:p>
        </w:tc>
      </w:tr>
      <w:tr w:rsidR="006A700F" w:rsidRPr="007D1DF1" w:rsidTr="0035512B">
        <w:trPr>
          <w:trHeight w:val="255"/>
        </w:trPr>
        <w:tc>
          <w:tcPr>
            <w:tcW w:w="127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B97766" w:rsidRDefault="006A700F" w:rsidP="0035512B">
            <w:pPr>
              <w:jc w:val="center"/>
              <w:rPr>
                <w:sz w:val="20"/>
                <w:lang w:val="en-GB"/>
              </w:rPr>
            </w:pPr>
            <w:r w:rsidRPr="00B97766">
              <w:rPr>
                <w:sz w:val="20"/>
                <w:lang w:val="en-GB"/>
              </w:rPr>
              <w:t>Non-activated carbon aerogel</w:t>
            </w:r>
          </w:p>
        </w:tc>
        <w:tc>
          <w:tcPr>
            <w:tcW w:w="147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12.8</w:t>
            </w:r>
          </w:p>
        </w:tc>
        <w:tc>
          <w:tcPr>
            <w:tcW w:w="147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1.5</w:t>
            </w:r>
          </w:p>
        </w:tc>
        <w:tc>
          <w:tcPr>
            <w:tcW w:w="147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6A700F" w:rsidRPr="007D1DF1" w:rsidRDefault="006A700F" w:rsidP="0035512B">
            <w:pPr>
              <w:keepNext/>
              <w:jc w:val="center"/>
              <w:rPr>
                <w:lang w:val="en-GB"/>
              </w:rPr>
            </w:pPr>
            <w:r>
              <w:rPr>
                <w:lang w:val="en-GB"/>
              </w:rPr>
              <w:t>0.4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0F" w:rsidRDefault="006A700F" w:rsidP="0035512B">
            <w:pPr>
              <w:jc w:val="center"/>
              <w:rPr>
                <w:lang w:val="en-GB"/>
              </w:rPr>
            </w:pPr>
          </w:p>
          <w:p w:rsidR="006A700F" w:rsidRPr="007D1DF1" w:rsidRDefault="006A700F" w:rsidP="006A700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700F" w:rsidRDefault="006A700F" w:rsidP="0035512B">
            <w:pPr>
              <w:jc w:val="center"/>
              <w:rPr>
                <w:lang w:val="en-GB"/>
              </w:rPr>
            </w:pPr>
          </w:p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  <w:r>
              <w:rPr>
                <w:lang w:val="en-GB"/>
              </w:rPr>
              <w:t>9</w:t>
            </w:r>
          </w:p>
        </w:tc>
      </w:tr>
      <w:tr w:rsidR="006A700F" w:rsidRPr="007D1DF1" w:rsidTr="0035512B">
        <w:trPr>
          <w:trHeight w:val="255"/>
        </w:trPr>
        <w:tc>
          <w:tcPr>
            <w:tcW w:w="127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B97766" w:rsidRDefault="006A700F" w:rsidP="0035512B">
            <w:pPr>
              <w:jc w:val="center"/>
              <w:rPr>
                <w:sz w:val="20"/>
                <w:lang w:val="en-GB"/>
              </w:rPr>
            </w:pPr>
            <w:r w:rsidRPr="00B97766">
              <w:rPr>
                <w:sz w:val="20"/>
                <w:lang w:val="en-GB"/>
              </w:rPr>
              <w:t>Activated carbon aerogel</w:t>
            </w:r>
          </w:p>
        </w:tc>
        <w:tc>
          <w:tcPr>
            <w:tcW w:w="147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11.5</w:t>
            </w:r>
          </w:p>
        </w:tc>
        <w:tc>
          <w:tcPr>
            <w:tcW w:w="147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1.3</w:t>
            </w:r>
          </w:p>
        </w:tc>
        <w:tc>
          <w:tcPr>
            <w:tcW w:w="147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6A700F" w:rsidRPr="007D1DF1" w:rsidRDefault="006A700F" w:rsidP="006A700F">
            <w:pPr>
              <w:jc w:val="center"/>
              <w:rPr>
                <w:lang w:val="en-GB"/>
              </w:rPr>
            </w:pPr>
            <w:r w:rsidRPr="007D1DF1">
              <w:rPr>
                <w:lang w:val="en-GB"/>
              </w:rPr>
              <w:t>0.</w:t>
            </w:r>
            <w:r>
              <w:rPr>
                <w:lang w:val="en-GB"/>
              </w:rP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0F" w:rsidRDefault="006A700F" w:rsidP="0035512B">
            <w:pPr>
              <w:jc w:val="center"/>
              <w:rPr>
                <w:lang w:val="en-GB"/>
              </w:rPr>
            </w:pPr>
          </w:p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700F" w:rsidRDefault="006A700F" w:rsidP="0035512B">
            <w:pPr>
              <w:jc w:val="center"/>
              <w:rPr>
                <w:lang w:val="en-GB"/>
              </w:rPr>
            </w:pPr>
          </w:p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  <w:r>
              <w:rPr>
                <w:lang w:val="en-GB"/>
              </w:rPr>
              <w:t>0</w:t>
            </w:r>
          </w:p>
        </w:tc>
      </w:tr>
    </w:tbl>
    <w:p w:rsidR="007E2822" w:rsidRDefault="007E2822" w:rsidP="0084675B"/>
    <w:p w:rsidR="006A700F" w:rsidRDefault="006A700F" w:rsidP="0084675B"/>
    <w:p w:rsidR="006A700F" w:rsidRDefault="006A700F" w:rsidP="0084675B">
      <w:r>
        <w:t>Varasemad tulemused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3"/>
        <w:gridCol w:w="1470"/>
        <w:gridCol w:w="1471"/>
        <w:gridCol w:w="1471"/>
        <w:gridCol w:w="1471"/>
        <w:gridCol w:w="1471"/>
        <w:gridCol w:w="1471"/>
      </w:tblGrid>
      <w:tr w:rsidR="006A700F" w:rsidRPr="007D1DF1" w:rsidTr="0035512B">
        <w:trPr>
          <w:trHeight w:val="510"/>
        </w:trPr>
        <w:tc>
          <w:tcPr>
            <w:tcW w:w="127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b/>
                <w:bCs/>
                <w:lang w:val="en-GB"/>
              </w:rPr>
            </w:pPr>
            <w:r w:rsidRPr="007D1DF1">
              <w:rPr>
                <w:b/>
                <w:bCs/>
                <w:lang w:val="en-GB"/>
              </w:rPr>
              <w:t>Sample</w:t>
            </w:r>
          </w:p>
        </w:tc>
        <w:tc>
          <w:tcPr>
            <w:tcW w:w="147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b/>
                <w:bCs/>
                <w:lang w:val="en-GB"/>
              </w:rPr>
            </w:pPr>
            <w:r w:rsidRPr="007D1DF1">
              <w:rPr>
                <w:b/>
                <w:bCs/>
                <w:lang w:val="en-GB"/>
              </w:rPr>
              <w:t>Max</w:t>
            </w:r>
            <w:r>
              <w:rPr>
                <w:b/>
                <w:bCs/>
                <w:lang w:val="en-GB"/>
              </w:rPr>
              <w:t>imum</w:t>
            </w:r>
            <w:r w:rsidRPr="007D1DF1">
              <w:rPr>
                <w:b/>
                <w:bCs/>
                <w:lang w:val="en-GB"/>
              </w:rPr>
              <w:t xml:space="preserve"> peak-to-peak stain (m</w:t>
            </w:r>
            <w:r>
              <w:rPr>
                <w:b/>
                <w:bCs/>
                <w:lang w:val="en-GB"/>
              </w:rPr>
              <w:t>ε</w:t>
            </w:r>
            <w:r w:rsidRPr="007D1DF1">
              <w:rPr>
                <w:b/>
                <w:bCs/>
                <w:lang w:val="en-GB"/>
              </w:rPr>
              <w:t>)</w:t>
            </w:r>
          </w:p>
        </w:tc>
        <w:tc>
          <w:tcPr>
            <w:tcW w:w="147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b/>
                <w:bCs/>
                <w:lang w:val="en-GB"/>
              </w:rPr>
            </w:pPr>
            <w:r w:rsidRPr="007D1DF1">
              <w:rPr>
                <w:b/>
                <w:bCs/>
                <w:lang w:val="en-GB"/>
              </w:rPr>
              <w:t>Max</w:t>
            </w:r>
            <w:r>
              <w:rPr>
                <w:b/>
                <w:bCs/>
                <w:lang w:val="en-GB"/>
              </w:rPr>
              <w:t>imum</w:t>
            </w:r>
            <w:r w:rsidRPr="007D1DF1">
              <w:rPr>
                <w:b/>
                <w:bCs/>
                <w:lang w:val="en-GB"/>
              </w:rPr>
              <w:t xml:space="preserve"> strain rate (m</w:t>
            </w:r>
            <w:r>
              <w:rPr>
                <w:b/>
                <w:bCs/>
                <w:lang w:val="en-GB"/>
              </w:rPr>
              <w:t>ε</w:t>
            </w:r>
            <w:r w:rsidRPr="007D1DF1">
              <w:rPr>
                <w:b/>
                <w:bCs/>
                <w:lang w:val="en-GB"/>
              </w:rPr>
              <w:t>/s)</w:t>
            </w:r>
          </w:p>
        </w:tc>
        <w:tc>
          <w:tcPr>
            <w:tcW w:w="147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b/>
                <w:bCs/>
                <w:lang w:val="en-GB"/>
              </w:rPr>
            </w:pPr>
            <w:r w:rsidRPr="007D1DF1">
              <w:rPr>
                <w:b/>
                <w:bCs/>
                <w:lang w:val="en-GB"/>
              </w:rPr>
              <w:t>Capacitance (mF/cm</w:t>
            </w:r>
            <w:r w:rsidRPr="005742A2">
              <w:rPr>
                <w:b/>
                <w:bCs/>
                <w:vertAlign w:val="superscript"/>
                <w:lang w:val="en-GB"/>
              </w:rPr>
              <w:t>2</w:t>
            </w:r>
            <w:r w:rsidRPr="007D1DF1">
              <w:rPr>
                <w:b/>
                <w:bCs/>
                <w:lang w:val="en-GB"/>
              </w:rPr>
              <w:t>)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6A700F" w:rsidRPr="007D1DF1" w:rsidRDefault="006A700F" w:rsidP="0035512B">
            <w:pPr>
              <w:jc w:val="center"/>
              <w:rPr>
                <w:b/>
                <w:lang w:val="en-GB"/>
              </w:rPr>
            </w:pPr>
            <w:r w:rsidRPr="007D1DF1">
              <w:rPr>
                <w:b/>
                <w:lang w:val="en-GB"/>
              </w:rPr>
              <w:t>Electrode surface resistance (Ω/cm)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00F" w:rsidRPr="007D1DF1" w:rsidRDefault="006A700F" w:rsidP="0035512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Blocking force (mN)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00F" w:rsidRPr="007D1DF1" w:rsidRDefault="006A700F" w:rsidP="0035512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Stiffness (MPa)</w:t>
            </w:r>
          </w:p>
        </w:tc>
      </w:tr>
      <w:tr w:rsidR="006A700F" w:rsidRPr="007D1DF1" w:rsidTr="0035512B">
        <w:trPr>
          <w:trHeight w:val="255"/>
        </w:trPr>
        <w:tc>
          <w:tcPr>
            <w:tcW w:w="127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 w:rsidRPr="007D1DF1">
              <w:rPr>
                <w:lang w:val="en-GB"/>
              </w:rPr>
              <w:t>Carbon (1)</w:t>
            </w:r>
          </w:p>
        </w:tc>
        <w:tc>
          <w:tcPr>
            <w:tcW w:w="147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20.4 (±11%)</w:t>
            </w:r>
          </w:p>
        </w:tc>
        <w:tc>
          <w:tcPr>
            <w:tcW w:w="147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 w:rsidRPr="007D1DF1">
              <w:rPr>
                <w:lang w:val="en-GB"/>
              </w:rPr>
              <w:t>2.3</w:t>
            </w:r>
            <w:r>
              <w:rPr>
                <w:lang w:val="en-GB"/>
              </w:rPr>
              <w:t xml:space="preserve"> (±9%)</w:t>
            </w:r>
          </w:p>
        </w:tc>
        <w:tc>
          <w:tcPr>
            <w:tcW w:w="147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 w:rsidRPr="007D1DF1">
              <w:rPr>
                <w:lang w:val="en-GB"/>
              </w:rPr>
              <w:t>16</w:t>
            </w:r>
            <w:r>
              <w:rPr>
                <w:lang w:val="en-GB"/>
              </w:rPr>
              <w:t xml:space="preserve"> (±9%)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6A700F" w:rsidRPr="007D1DF1" w:rsidRDefault="006A700F" w:rsidP="0035512B">
            <w:pPr>
              <w:keepNext/>
              <w:jc w:val="center"/>
              <w:rPr>
                <w:lang w:val="en-GB"/>
              </w:rPr>
            </w:pPr>
            <w:r w:rsidRPr="007D1DF1">
              <w:rPr>
                <w:lang w:val="en-GB"/>
              </w:rPr>
              <w:t>0.7</w:t>
            </w:r>
            <w:r>
              <w:rPr>
                <w:lang w:val="en-GB"/>
              </w:rPr>
              <w:t xml:space="preserve"> (±17%)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3.6 (±9%)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97 (±8%)</w:t>
            </w:r>
          </w:p>
        </w:tc>
      </w:tr>
      <w:tr w:rsidR="006A700F" w:rsidRPr="007D1DF1" w:rsidTr="0035512B">
        <w:trPr>
          <w:trHeight w:val="255"/>
        </w:trPr>
        <w:tc>
          <w:tcPr>
            <w:tcW w:w="127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 w:rsidRPr="007D1DF1">
              <w:rPr>
                <w:lang w:val="en-GB"/>
              </w:rPr>
              <w:t>Carbon (2)</w:t>
            </w:r>
          </w:p>
        </w:tc>
        <w:tc>
          <w:tcPr>
            <w:tcW w:w="147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10.3 (±11%)</w:t>
            </w:r>
          </w:p>
        </w:tc>
        <w:tc>
          <w:tcPr>
            <w:tcW w:w="147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 w:rsidRPr="007D1DF1">
              <w:rPr>
                <w:lang w:val="en-GB"/>
              </w:rPr>
              <w:t>1.6</w:t>
            </w:r>
            <w:r>
              <w:rPr>
                <w:lang w:val="en-GB"/>
              </w:rPr>
              <w:t xml:space="preserve"> (±9%)</w:t>
            </w:r>
          </w:p>
        </w:tc>
        <w:tc>
          <w:tcPr>
            <w:tcW w:w="147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 w:rsidRPr="007D1DF1">
              <w:rPr>
                <w:lang w:val="en-GB"/>
              </w:rPr>
              <w:t>51</w:t>
            </w:r>
            <w:r>
              <w:rPr>
                <w:lang w:val="en-GB"/>
              </w:rPr>
              <w:t xml:space="preserve"> (±11%)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 w:rsidRPr="007D1DF1">
              <w:rPr>
                <w:lang w:val="en-GB"/>
              </w:rPr>
              <w:t>0.6</w:t>
            </w:r>
            <w:r>
              <w:rPr>
                <w:lang w:val="en-GB"/>
              </w:rPr>
              <w:t xml:space="preserve"> (±17%)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3.1 (±12%)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103 (±10%)</w:t>
            </w:r>
          </w:p>
        </w:tc>
      </w:tr>
      <w:tr w:rsidR="006A700F" w:rsidRPr="007D1DF1" w:rsidTr="0035512B">
        <w:trPr>
          <w:trHeight w:val="283"/>
        </w:trPr>
        <w:tc>
          <w:tcPr>
            <w:tcW w:w="127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 w:rsidRPr="007D1DF1">
              <w:rPr>
                <w:lang w:val="en-GB"/>
              </w:rPr>
              <w:t>RuO</w:t>
            </w:r>
            <w:r w:rsidRPr="007D1DF1">
              <w:rPr>
                <w:vertAlign w:val="subscript"/>
                <w:lang w:val="en-GB"/>
              </w:rPr>
              <w:t>2</w:t>
            </w:r>
            <w:r w:rsidRPr="007D1DF1">
              <w:rPr>
                <w:lang w:val="en-GB"/>
              </w:rPr>
              <w:t xml:space="preserve"> (1)</w:t>
            </w:r>
          </w:p>
        </w:tc>
        <w:tc>
          <w:tcPr>
            <w:tcW w:w="147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9.4 (±11%)</w:t>
            </w:r>
          </w:p>
        </w:tc>
        <w:tc>
          <w:tcPr>
            <w:tcW w:w="147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0.93 (±6%)</w:t>
            </w:r>
          </w:p>
        </w:tc>
        <w:tc>
          <w:tcPr>
            <w:tcW w:w="147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 w:rsidRPr="007D1DF1">
              <w:rPr>
                <w:lang w:val="en-GB"/>
              </w:rPr>
              <w:t>20</w:t>
            </w:r>
            <w:r>
              <w:rPr>
                <w:lang w:val="en-GB"/>
              </w:rPr>
              <w:t xml:space="preserve"> (±12%)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 w:rsidRPr="007D1DF1">
              <w:rPr>
                <w:lang w:val="en-GB"/>
              </w:rPr>
              <w:t>0.6</w:t>
            </w:r>
            <w:r>
              <w:rPr>
                <w:lang w:val="en-GB"/>
              </w:rPr>
              <w:t xml:space="preserve"> (±17%)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3.3 (±10%)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88 (±12%)</w:t>
            </w:r>
          </w:p>
        </w:tc>
      </w:tr>
      <w:tr w:rsidR="006A700F" w:rsidRPr="007D1DF1" w:rsidTr="0035512B">
        <w:trPr>
          <w:trHeight w:val="255"/>
        </w:trPr>
        <w:tc>
          <w:tcPr>
            <w:tcW w:w="127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 w:rsidRPr="007D1DF1">
              <w:rPr>
                <w:lang w:val="en-GB"/>
              </w:rPr>
              <w:t>RuO</w:t>
            </w:r>
            <w:r w:rsidRPr="007D1DF1">
              <w:rPr>
                <w:vertAlign w:val="subscript"/>
                <w:lang w:val="en-GB"/>
              </w:rPr>
              <w:t>2</w:t>
            </w:r>
            <w:r w:rsidRPr="007D1DF1">
              <w:rPr>
                <w:lang w:val="en-GB"/>
              </w:rPr>
              <w:t xml:space="preserve"> (2)</w:t>
            </w:r>
          </w:p>
        </w:tc>
        <w:tc>
          <w:tcPr>
            <w:tcW w:w="147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6.9 (±10%)</w:t>
            </w:r>
          </w:p>
        </w:tc>
        <w:tc>
          <w:tcPr>
            <w:tcW w:w="147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 w:rsidRPr="007D1DF1">
              <w:rPr>
                <w:lang w:val="en-GB"/>
              </w:rPr>
              <w:t>1.7</w:t>
            </w:r>
            <w:r>
              <w:rPr>
                <w:lang w:val="en-GB"/>
              </w:rPr>
              <w:t xml:space="preserve"> (±9%)</w:t>
            </w:r>
          </w:p>
        </w:tc>
        <w:tc>
          <w:tcPr>
            <w:tcW w:w="147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 w:rsidRPr="007D1DF1">
              <w:rPr>
                <w:lang w:val="en-GB"/>
              </w:rPr>
              <w:t>36</w:t>
            </w:r>
            <w:r>
              <w:rPr>
                <w:lang w:val="en-GB"/>
              </w:rPr>
              <w:t xml:space="preserve"> (±9%)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 w:rsidRPr="007D1DF1">
              <w:rPr>
                <w:lang w:val="en-GB"/>
              </w:rPr>
              <w:t>0.5</w:t>
            </w:r>
            <w:r>
              <w:rPr>
                <w:lang w:val="en-GB"/>
              </w:rPr>
              <w:t xml:space="preserve"> (±20%)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3.5 (±11%)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700F" w:rsidRPr="007D1DF1" w:rsidRDefault="006A700F" w:rsidP="0035512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95 (±8%)</w:t>
            </w:r>
          </w:p>
        </w:tc>
      </w:tr>
    </w:tbl>
    <w:p w:rsidR="006A700F" w:rsidRDefault="006A700F" w:rsidP="0084675B"/>
    <w:p w:rsidR="007E2822" w:rsidRDefault="007E2822" w:rsidP="007E2822">
      <w:pPr>
        <w:jc w:val="both"/>
        <w:rPr>
          <w:b/>
          <w:color w:val="000000"/>
        </w:rPr>
      </w:pPr>
      <w:r>
        <w:rPr>
          <w:b/>
          <w:color w:val="000000"/>
        </w:rPr>
        <w:t>4. Conclusions</w:t>
      </w:r>
    </w:p>
    <w:p w:rsidR="005F1278" w:rsidRDefault="00D92FE2" w:rsidP="0084675B">
      <w:r>
        <w:br w:type="page"/>
      </w:r>
    </w:p>
    <w:sectPr w:rsidR="005F1278" w:rsidSect="005F1278">
      <w:endnotePr>
        <w:numFmt w:val="decimal"/>
      </w:endnote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2C9" w:rsidRDefault="00C142C9" w:rsidP="00D92FE2">
      <w:r>
        <w:separator/>
      </w:r>
    </w:p>
  </w:endnote>
  <w:endnote w:type="continuationSeparator" w:id="0">
    <w:p w:rsidR="00C142C9" w:rsidRDefault="00C142C9" w:rsidP="00D92FE2">
      <w:r>
        <w:continuationSeparator/>
      </w:r>
    </w:p>
  </w:endnote>
  <w:endnote w:id="1">
    <w:p w:rsidR="000C6051" w:rsidRPr="000C6051" w:rsidRDefault="000C6051" w:rsidP="000C6051">
      <w:pPr>
        <w:autoSpaceDE w:val="0"/>
        <w:autoSpaceDN w:val="0"/>
        <w:adjustRightInd w:val="0"/>
        <w:rPr>
          <w:rFonts w:ascii="AdvPS_TTI" w:eastAsiaTheme="minorHAnsi" w:hAnsi="AdvPS_TTI" w:cs="AdvPS_TTI"/>
          <w:sz w:val="16"/>
          <w:szCs w:val="16"/>
          <w:lang w:eastAsia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AdvPS_TTI" w:eastAsiaTheme="minorHAnsi" w:hAnsi="AdvPS_TTI" w:cs="AdvPS_TTI"/>
          <w:sz w:val="16"/>
          <w:szCs w:val="16"/>
          <w:lang w:eastAsia="en-US"/>
        </w:rPr>
        <w:t xml:space="preserve">Electroactive Polymer (EAP) Actuators as Artificial Muscles, Reality, Potential, and Challenges </w:t>
      </w:r>
      <w:r>
        <w:rPr>
          <w:rFonts w:ascii="AdvPS_TTR" w:eastAsiaTheme="minorHAnsi" w:hAnsi="AdvPS_TTR" w:cs="AdvPS_TTR"/>
          <w:sz w:val="16"/>
          <w:szCs w:val="16"/>
          <w:lang w:eastAsia="en-US"/>
        </w:rPr>
        <w:t xml:space="preserve">(Ed.: Y. Bar-Cohen), 2nd ed., SPIE Press, Washington, DC, </w:t>
      </w:r>
      <w:r>
        <w:rPr>
          <w:rFonts w:ascii="AdvPS_TTB" w:eastAsiaTheme="minorHAnsi" w:hAnsi="AdvPS_TTB" w:cs="AdvPS_TTB"/>
          <w:sz w:val="16"/>
          <w:szCs w:val="16"/>
          <w:lang w:eastAsia="en-US"/>
        </w:rPr>
        <w:t>2004</w:t>
      </w:r>
      <w:r>
        <w:rPr>
          <w:rFonts w:ascii="AdvPS_TTR" w:eastAsiaTheme="minorHAnsi" w:hAnsi="AdvPS_TTR" w:cs="AdvPS_TTR"/>
          <w:sz w:val="16"/>
          <w:szCs w:val="16"/>
          <w:lang w:eastAsia="en-US"/>
        </w:rPr>
        <w:t>.</w:t>
      </w:r>
    </w:p>
  </w:endnote>
  <w:endnote w:id="2">
    <w:p w:rsidR="00210F9B" w:rsidRPr="00210F9B" w:rsidRDefault="00210F9B">
      <w:pPr>
        <w:pStyle w:val="EndnoteText"/>
        <w:rPr>
          <w:lang w:val="et-EE"/>
        </w:rPr>
      </w:pPr>
      <w:r>
        <w:rPr>
          <w:rStyle w:val="EndnoteReference"/>
        </w:rPr>
        <w:endnoteRef/>
      </w:r>
      <w:r>
        <w:t xml:space="preserve"> B. Akle, M.D. Bennet and D.J. Leo, </w:t>
      </w:r>
      <w:r>
        <w:rPr>
          <w:i/>
        </w:rPr>
        <w:t>Sens.</w:t>
      </w:r>
      <w:r w:rsidRPr="00CF55B9">
        <w:rPr>
          <w:i/>
        </w:rPr>
        <w:t xml:space="preserve"> Actuators</w:t>
      </w:r>
      <w:r>
        <w:rPr>
          <w:i/>
        </w:rPr>
        <w:t>,</w:t>
      </w:r>
      <w:r w:rsidRPr="00CF55B9">
        <w:rPr>
          <w:i/>
        </w:rPr>
        <w:t xml:space="preserve"> A</w:t>
      </w:r>
      <w:r w:rsidRPr="007D1DF1">
        <w:t>, 126 (</w:t>
      </w:r>
      <w:r w:rsidRPr="007A2589">
        <w:rPr>
          <w:b/>
        </w:rPr>
        <w:t>2006</w:t>
      </w:r>
      <w:r w:rsidRPr="007D1DF1">
        <w:t>) 173-181.</w:t>
      </w:r>
    </w:p>
  </w:endnote>
  <w:endnote w:id="3">
    <w:p w:rsidR="00210F9B" w:rsidRPr="00210F9B" w:rsidRDefault="00210F9B" w:rsidP="00210F9B">
      <w:r>
        <w:rPr>
          <w:rStyle w:val="EndnoteReference"/>
        </w:rPr>
        <w:endnoteRef/>
      </w:r>
      <w:r>
        <w:t xml:space="preserve"> B. Akle, S. Nawshin and D. Leo,</w:t>
      </w:r>
      <w:r w:rsidRPr="007D1DF1">
        <w:t xml:space="preserve"> </w:t>
      </w:r>
      <w:r>
        <w:rPr>
          <w:i/>
        </w:rPr>
        <w:t>Smart Mater. Struct.,</w:t>
      </w:r>
      <w:r w:rsidRPr="00CF55B9">
        <w:rPr>
          <w:i/>
        </w:rPr>
        <w:t xml:space="preserve"> </w:t>
      </w:r>
      <w:r w:rsidRPr="00CF55B9">
        <w:t>16</w:t>
      </w:r>
      <w:r w:rsidRPr="007D1DF1">
        <w:t xml:space="preserve"> (</w:t>
      </w:r>
      <w:r w:rsidRPr="007E1E6C">
        <w:rPr>
          <w:b/>
        </w:rPr>
        <w:t>2007</w:t>
      </w:r>
      <w:r w:rsidRPr="007D1DF1">
        <w:t xml:space="preserve">) </w:t>
      </w:r>
      <w:r w:rsidRPr="00013298">
        <w:t>S256-S261.</w:t>
      </w:r>
    </w:p>
  </w:endnote>
  <w:endnote w:id="4">
    <w:p w:rsidR="00210F9B" w:rsidRPr="00210F9B" w:rsidRDefault="00210F9B">
      <w:pPr>
        <w:pStyle w:val="EndnoteText"/>
        <w:rPr>
          <w:lang w:val="et-EE"/>
        </w:rPr>
      </w:pPr>
      <w:r>
        <w:rPr>
          <w:rStyle w:val="EndnoteReference"/>
        </w:rPr>
        <w:endnoteRef/>
      </w:r>
      <w:r>
        <w:t xml:space="preserve"> </w:t>
      </w:r>
      <w:r w:rsidRPr="007D1DF1">
        <w:rPr>
          <w:lang w:val="et-EE"/>
        </w:rPr>
        <w:t>B.J. Akle, M.D</w:t>
      </w:r>
      <w:r>
        <w:rPr>
          <w:lang w:val="et-EE"/>
        </w:rPr>
        <w:t>. Bennett, D.J. Leo, K.B. Wiles and</w:t>
      </w:r>
      <w:r w:rsidRPr="007D1DF1">
        <w:rPr>
          <w:lang w:val="et-EE"/>
        </w:rPr>
        <w:t xml:space="preserve"> </w:t>
      </w:r>
      <w:r>
        <w:rPr>
          <w:lang w:val="et-EE"/>
        </w:rPr>
        <w:t>J.E. McGrath</w:t>
      </w:r>
      <w:r w:rsidRPr="007D1DF1">
        <w:rPr>
          <w:lang w:val="et-EE"/>
        </w:rPr>
        <w:t xml:space="preserve">, </w:t>
      </w:r>
      <w:r>
        <w:rPr>
          <w:i/>
          <w:lang w:val="et-EE"/>
        </w:rPr>
        <w:t>J. Mater.</w:t>
      </w:r>
      <w:r w:rsidRPr="00CF55B9">
        <w:rPr>
          <w:i/>
          <w:lang w:val="et-EE"/>
        </w:rPr>
        <w:t xml:space="preserve"> Sci</w:t>
      </w:r>
      <w:r>
        <w:rPr>
          <w:i/>
          <w:lang w:val="et-EE"/>
        </w:rPr>
        <w:t>.,</w:t>
      </w:r>
      <w:r>
        <w:rPr>
          <w:lang w:val="et-EE"/>
        </w:rPr>
        <w:t xml:space="preserve"> 42</w:t>
      </w:r>
      <w:r w:rsidRPr="007D1DF1">
        <w:rPr>
          <w:lang w:val="et-EE"/>
        </w:rPr>
        <w:t xml:space="preserve"> (2007) 7031-7041.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dvPS_T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S_TT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S_TT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2C9" w:rsidRDefault="00C142C9" w:rsidP="00D92FE2">
      <w:r>
        <w:separator/>
      </w:r>
    </w:p>
  </w:footnote>
  <w:footnote w:type="continuationSeparator" w:id="0">
    <w:p w:rsidR="00C142C9" w:rsidRDefault="00C142C9" w:rsidP="00D92FE2">
      <w:r>
        <w:continuationSeparator/>
      </w:r>
    </w:p>
  </w:footnote>
  <w:footnote w:id="1">
    <w:p w:rsidR="00D92FE2" w:rsidRDefault="00D92FE2" w:rsidP="00D92FE2">
      <w:pPr>
        <w:pStyle w:val="FootnoteText"/>
      </w:pPr>
      <w:r>
        <w:rPr>
          <w:rStyle w:val="FootnoteReference"/>
        </w:rPr>
        <w:t>*</w:t>
      </w:r>
      <w:r>
        <w:t xml:space="preserve"> </w:t>
      </w:r>
      <w:r>
        <w:rPr>
          <w:lang w:val="en-GB"/>
        </w:rPr>
        <w:t xml:space="preserve">Corresponding author: Alvo Aabloo, </w:t>
      </w:r>
      <w:hyperlink r:id="rId1" w:history="1">
        <w:r>
          <w:rPr>
            <w:rStyle w:val="Hyperlink"/>
            <w:lang w:val="en-GB"/>
          </w:rPr>
          <w:t>alvo@ut.ee</w:t>
        </w:r>
      </w:hyperlink>
      <w:r>
        <w:rPr>
          <w:lang w:val="en-GB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D92FE2"/>
    <w:rsid w:val="00024CC7"/>
    <w:rsid w:val="000A2351"/>
    <w:rsid w:val="000C122F"/>
    <w:rsid w:val="000C6051"/>
    <w:rsid w:val="000D23AB"/>
    <w:rsid w:val="0011297D"/>
    <w:rsid w:val="00140444"/>
    <w:rsid w:val="00157C34"/>
    <w:rsid w:val="00184885"/>
    <w:rsid w:val="001A4917"/>
    <w:rsid w:val="001B4996"/>
    <w:rsid w:val="001B585D"/>
    <w:rsid w:val="001C6166"/>
    <w:rsid w:val="001E2491"/>
    <w:rsid w:val="00210F9B"/>
    <w:rsid w:val="00243E17"/>
    <w:rsid w:val="002C79B4"/>
    <w:rsid w:val="00356F9D"/>
    <w:rsid w:val="003B565E"/>
    <w:rsid w:val="003C519E"/>
    <w:rsid w:val="0041423A"/>
    <w:rsid w:val="004D6948"/>
    <w:rsid w:val="004D741A"/>
    <w:rsid w:val="00533CA4"/>
    <w:rsid w:val="0056324A"/>
    <w:rsid w:val="00582A9E"/>
    <w:rsid w:val="00584CBB"/>
    <w:rsid w:val="005943E7"/>
    <w:rsid w:val="005C68E0"/>
    <w:rsid w:val="005D786A"/>
    <w:rsid w:val="005F1278"/>
    <w:rsid w:val="005F5996"/>
    <w:rsid w:val="00651C2B"/>
    <w:rsid w:val="006A2130"/>
    <w:rsid w:val="006A54EB"/>
    <w:rsid w:val="006A700F"/>
    <w:rsid w:val="006C658C"/>
    <w:rsid w:val="006D1FC2"/>
    <w:rsid w:val="006E4763"/>
    <w:rsid w:val="006F3F2A"/>
    <w:rsid w:val="006F7B9C"/>
    <w:rsid w:val="00706429"/>
    <w:rsid w:val="007236B7"/>
    <w:rsid w:val="00733D39"/>
    <w:rsid w:val="007734AA"/>
    <w:rsid w:val="007D3262"/>
    <w:rsid w:val="007E2822"/>
    <w:rsid w:val="0084675B"/>
    <w:rsid w:val="00890154"/>
    <w:rsid w:val="008A3117"/>
    <w:rsid w:val="0094033D"/>
    <w:rsid w:val="00977FEC"/>
    <w:rsid w:val="009B1F22"/>
    <w:rsid w:val="00A151DC"/>
    <w:rsid w:val="00A21265"/>
    <w:rsid w:val="00A21384"/>
    <w:rsid w:val="00A25B24"/>
    <w:rsid w:val="00AB0F7E"/>
    <w:rsid w:val="00AC5C2D"/>
    <w:rsid w:val="00AC7041"/>
    <w:rsid w:val="00B20880"/>
    <w:rsid w:val="00B41CE3"/>
    <w:rsid w:val="00B97766"/>
    <w:rsid w:val="00BB7999"/>
    <w:rsid w:val="00C06EFB"/>
    <w:rsid w:val="00C13470"/>
    <w:rsid w:val="00C142C9"/>
    <w:rsid w:val="00C26002"/>
    <w:rsid w:val="00C3293E"/>
    <w:rsid w:val="00CD14A7"/>
    <w:rsid w:val="00D170B6"/>
    <w:rsid w:val="00D5052E"/>
    <w:rsid w:val="00D92FE2"/>
    <w:rsid w:val="00DB0299"/>
    <w:rsid w:val="00E60693"/>
    <w:rsid w:val="00E93AC1"/>
    <w:rsid w:val="00EC355A"/>
    <w:rsid w:val="00ED54F1"/>
    <w:rsid w:val="00F045B2"/>
    <w:rsid w:val="00F26CDE"/>
    <w:rsid w:val="00F3445A"/>
    <w:rsid w:val="00F77C80"/>
    <w:rsid w:val="00F83221"/>
    <w:rsid w:val="00FD0DE0"/>
    <w:rsid w:val="00FD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FE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D92FE2"/>
    <w:pPr>
      <w:numPr>
        <w:ilvl w:val="1"/>
      </w:numPr>
      <w:suppressAutoHyphens/>
      <w:spacing w:before="120" w:line="360" w:lineRule="auto"/>
    </w:pPr>
    <w:rPr>
      <w:rFonts w:ascii="Cambria" w:eastAsia="Times New Roman" w:hAnsi="Cambria"/>
      <w:i/>
      <w:iCs/>
      <w:color w:val="4F81BD"/>
      <w:spacing w:val="15"/>
      <w:lang w:eastAsia="ar-SA"/>
    </w:rPr>
  </w:style>
  <w:style w:type="character" w:customStyle="1" w:styleId="SubtitleChar">
    <w:name w:val="Subtitle Char"/>
    <w:basedOn w:val="DefaultParagraphFont"/>
    <w:link w:val="Subtitle"/>
    <w:rsid w:val="00D92FE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qFormat/>
    <w:rsid w:val="00D92FE2"/>
    <w:rPr>
      <w:i/>
      <w:iCs/>
      <w:color w:val="808080"/>
    </w:rPr>
  </w:style>
  <w:style w:type="paragraph" w:styleId="FootnoteText">
    <w:name w:val="footnote text"/>
    <w:basedOn w:val="Normal"/>
    <w:link w:val="FootnoteTextChar"/>
    <w:semiHidden/>
    <w:unhideWhenUsed/>
    <w:rsid w:val="00D92FE2"/>
    <w:pPr>
      <w:suppressAutoHyphens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92FE2"/>
    <w:rPr>
      <w:rFonts w:ascii="Times New Roman" w:eastAsia="Batang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unhideWhenUsed/>
    <w:rsid w:val="00D92FE2"/>
    <w:rPr>
      <w:vertAlign w:val="superscript"/>
    </w:rPr>
  </w:style>
  <w:style w:type="character" w:styleId="Hyperlink">
    <w:name w:val="Hyperlink"/>
    <w:basedOn w:val="DefaultParagraphFont"/>
    <w:unhideWhenUsed/>
    <w:rsid w:val="00D92F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5996"/>
    <w:pPr>
      <w:ind w:left="720"/>
      <w:contextualSpacing/>
    </w:pPr>
  </w:style>
  <w:style w:type="paragraph" w:styleId="BodyText">
    <w:name w:val="Body Text"/>
    <w:basedOn w:val="Normal"/>
    <w:link w:val="BodyTextChar"/>
    <w:rsid w:val="0084675B"/>
    <w:pPr>
      <w:suppressAutoHyphens/>
      <w:spacing w:before="120" w:line="480" w:lineRule="auto"/>
      <w:jc w:val="both"/>
    </w:pPr>
    <w:rPr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84675B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0F9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0F9B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EndnoteReference">
    <w:name w:val="endnote reference"/>
    <w:basedOn w:val="DefaultParagraphFont"/>
    <w:uiPriority w:val="99"/>
    <w:semiHidden/>
    <w:unhideWhenUsed/>
    <w:rsid w:val="00210F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lvo@u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87093-760C-4C4E-AF0E-EE0431A0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6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17</cp:revision>
  <dcterms:created xsi:type="dcterms:W3CDTF">2010-01-04T09:32:00Z</dcterms:created>
  <dcterms:modified xsi:type="dcterms:W3CDTF">2010-01-18T12:07:00Z</dcterms:modified>
</cp:coreProperties>
</file>